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QE14.010927 vom 29. April 2014</w:t>
      </w:r>
    </w:p>
    <w:p>
      <w:r>
        <w:t>VD Tribunal cantonal, 2014-04-29, FR</w:t>
      </w:r>
    </w:p>
    <w:p>
      <w:r>
        <w:rPr>
          <w:b/>
        </w:rPr>
        <w:t xml:space="preserve">Quelle: </w:t>
      </w:r>
      <w:r>
        <w:t>https://mcp.opencaselaw.ch/entscheid/vd_gerichte_QE14.010927</w:t>
      </w:r>
    </w:p>
    <w:p>
      <w:r>
        <w:t>FR: VD_GERICHTE QE14.010927 du 29 avril 2014</w:t>
      </w:r>
    </w:p>
    <w:p>
      <w:r>
        <w:t>IT: VD_GERICHTE QE14.010927 del 29 aprile 2014</w:t>
      </w:r>
    </w:p>
    <w:p>
      <w:pPr>
        <w:pStyle w:val="Heading2"/>
      </w:pPr>
      <w:r>
        <w:t>Erwägungen</w:t>
      </w:r>
    </w:p>
    <w:p>
      <w:r>
        <w:rPr>
          <w:b/>
        </w:rPr>
        <w:t>E. 1</w:t>
      </w:r>
    </w:p>
    <w:p>
      <w:r>
        <w:t>Le recours est dirigé contre une décision de la justice de paix nommant un curateur professionnel de l’OCTP en qualité de curateur au sens des art. 394 al. 1 et 395 al. 1 CC de A.T.________.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particulier, l'OCTP a qualité pour recourir contre la désignation de l'un de ses collaborateurs en qualité de curateur, cette entité sans personnalité juridique ayant un intérêt juridique à l'application des règles sur la répartition des mandats de</w:t>
      </w:r>
    </w:p>
    <w:p>
      <w:r>
        <w:t>- 5 - curatelle entre curateurs privés et professionnels. En outre,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le recours, motivé et interjeté en temps utile par l’OCTP, est recevable à la forme. Les pièces produites en deuxième instance sont également recevables. Le recours étant manifestement mal fondé au vu des considérations qui seront développées ci-après, il a été renoncé à consulter l'autorité de protection (cf. art. 450d al. 1 CC).</w:t>
      </w:r>
    </w:p>
    <w:p>
      <w:r>
        <w:rPr>
          <w:b/>
        </w:rPr>
        <w:t>E. 2</w:t>
      </w:r>
    </w:p>
    <w:p>
      <w:r>
        <w:t>Le recourant soutient que la situation de A.T.________ ne constitue pas un cas lourd au sens de l’art. 40 LVPAE. Il affirme que ce dernier ne souffre d’aucune dépendance à des drogues dures ou à d’autres substances, ni d’aucune maladie psychique grave non stabilisée, qu’il est collaborant, qu’aucun élément ne laisse penser qu’il est dans un état de marginalisation, que sa situation ne nécessite pas des réunions</w:t>
      </w:r>
    </w:p>
    <w:p>
      <w:r>
        <w:t>- 6 - fréquentes entre intervenants et que rien n’indique qu’il se trouve dans un état de dessaisissement de fortune. Il ajoute que rien ne laisse penser que A.T.________ aurait eu un comportement suicidaire en avril 2010. Ainsi, il considère que, dès lors que la situation personnelle du prénommé n’implique pas des démarches administratives ou judiciaires complexes, un curateur privé est tout à fait apte à gérer son patrimoine, à le représenter auprès de tiers et à lui apporter l’aide dont il a besoin. a) 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le Message du Conseil fédéral du 28 juin 2006 à l’appui de la révision du droit de la protection de l’adulte,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(cf. Reusser, Basler Kommentar, op. cit., n.14/15 ad art. 400 CC, pp. 283 et 284; Fassbind, Erwachsenenschutz, 2012, p. 253; Häfeli, CommFam, Protection de l’adulte, n. 7 ad art. 400 CC, pp. 507 et 508; Meier/Lukic, Introduction au nouveau droit de la protection de l’adulte, 2011, n. 541 et les notes 643/644, p. 246). Si la loi ne consacre pas de hiérarchie entre les différentes catégories de curateurs (FF 2006 p. 6683 ch. 2.2.5) – plusieurs dispositions étant toutefois destinées au curateur professionnel (cf. art. 404 aI. 1, 421 ch. 3, 424 et 425 al. 1 CC) – cela ne signifie pas qu’un curateur privé pourrait être investi de n’importe quelle mesure de protection. Comme l’observe le Conseil fédéral, «la complexité de certaines tâches limite le recours à des non-professionnels» (loc. cit.); aussi est-il admis qu’un curateur privé ne devrait pas être chargé d’une</w:t>
      </w:r>
    </w:p>
    <w:p>
      <w:r>
        <w:t>- 7 - curatelle en faveur de personnes qui, en particulier, souffrent de problèmes de dépendance (Guide pratique COPMA, n. 6.34, p. 191; dans ce sens : Reusser, Basler Kommentar, op. cit., n. 17 ad art. 400 CC, p. 284; Flückiger, L’obligation d’être tuteur : un principe de subsidiarité à l’épreuve de l’article 4 CEDH, in Festschrift für Paul Richli, 2011, pp. 179 ss, spéc. p. 197, qui rapporte la pratique zurichoise, également publié in Revue de la protection des mineurs et des adultes [RMA] 2011, pp. 263 ss, spéc. p. 280; Häfeli, Grundriss zum Erwachsenenschutzrecht, 2013, n. 21.09, p. 162). Ces considérations ne sont pas étrangères à l’art. 40 al. 4 LVPAE (TF 5A_699/2013 du 29 novembre 2014 c. 4.1).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w:t>
      </w:r>
    </w:p>
    <w:p>
      <w:r>
        <w:t>- 8 -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L'utilisation des termes «en principe» tant à l'alinéa 1 qu'à l'alinéa 4 de l'art. 40 LVPAE témoigne de la volonté du législateur de laisser une marge d'appréciation à l'autorité de protection quant à la distinction entre les cas simples et les cas lourds. b) En l’espèce, il ressort du rapport du docteur B.________ du 10 juin 2013 que A.T.________ a présenté des difficultés du comportement et un retard scolaire dès son école enfantine et qu’un retard mental simple a été mis en évidence. En outre, il souffre d’une obésité extrêmement sévère, qui n’a répondu à aucune prise en charge, ainsi que d’un eczéma et d’une dermatite atopique, fluctuant en fonction des saisons et surtout de son état émotionnel et psychologique. En avril 2010, il a fait une chute de 2,5 mètres avec réception sur les deux pieds à la suite d’un conflit avec des camarades, sans que l’on sache s’il s’agissait d’une tentative de suicide ou d’un appel à l’aide. Sur le plan social, il vit avec sa mère et son frère aîné, qui sont des soutiens et des accompagnants généreux et lui permettent de capitaliser petit à petit de la confiance en lui-même. Cette famille est toutefois confrontée à un problème majeur en raison de l’état</w:t>
      </w:r>
    </w:p>
    <w:p>
      <w:r>
        <w:t>- 9 - de santé du père, qui vit toujours avec la mère, bien que le couple soit officiellement séparé, et qui souffre d’un éthylisme chronique et d’une toxicomanie aux opiacés. Le médecin précité a déclaré avoir confiance dans les capacités d’autonomisation progressive de A.T.________, pour autant qu’un entourage assurant la prise en charge administrative et financière soit mis à sa disposition. A.T.________ a sollicité une curatelle en alléguant qu’il faisait des achats compulsifs et que les démarches administratives étaient trop complexes à gérer pour lui. Il travaille dans un atelier protégé auprès de l’institution de Lavigny et une démarche AI est en cours. Il résulte de ce qui précède que c’est à juste titre que les premiers juges ont considéré qu’en l’état, la curatelle de A.T.________ était un cas trop lourd à gérer pour une personne privée. Les troubles dont souffre l’intéressé nécessitent un accompagnement par un professionnel des questions humaines et sociales, du moins tant que sa situation n’est pas clarifiée en ce qui concerne sa requête AI et que sa situation familiale, en particulier en relation avec celle du père, n’est pas éclaircie. Cela n’exclut pas qu’à terme, la curatelle puisse à nouveau être confiée à un particulier, lorsque la situation de l’intéressé et de sa famille sera complètement stabilisée et qu’il aura pu développer, grâce à l’aide d’un professionnel, ses capacités d’autonomisation.</w:t>
      </w:r>
    </w:p>
    <w:p>
      <w:r>
        <w:rPr>
          <w:b/>
        </w:rPr>
        <w:t>E. 3</w:t>
      </w:r>
    </w:p>
    <w:p>
      <w:r>
        <w:t>En conclusion, le recours de l’OCTP doit être rejeté et la décision entreprise confirmée. Le présent arrêt peut être rendu sans frais judiciaires (art. 74a al. 4 TFJC [Tarif du 28 septembre 2010 des frais judiciaires civils, RSV 270.11.5]).</w:t>
      </w:r>
    </w:p>
    <w:p>
      <w:r>
        <w:t>- 10 - Par ces motifs, la Chambre des curatelles du Tribunal cantonal, statuant à huis clos, prononce : I. Le recours est rejeté. II. La décision est confirmée. III. L’arrêt est rendu sans frais judiciaires. IV. L'arrêt motivé est exécutoire. La présidente : La greffière : Du 29 avril 2014 Le dispositif de l'arrêt qui précède est communiqué par écrit aux intéressés. La greffière : Du</w:t>
      </w:r>
    </w:p>
    <w:p>
      <w:r>
        <w:t>- 11 - L'arrêt qui précède, dont la rédaction a été approuvée à huis clos, est notifié à : - M. [...], Chef de l’Office des curatelles et tutelles professionnelles, - M. A.T.________,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