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QE14.000972 vom 5. August 2014</w:t>
      </w:r>
    </w:p>
    <w:p>
      <w:r>
        <w:t>VD Tribunal cantonal, 2014-08-05, FR</w:t>
      </w:r>
    </w:p>
    <w:p>
      <w:r>
        <w:rPr>
          <w:b/>
        </w:rPr>
        <w:t xml:space="preserve">Quelle: </w:t>
      </w:r>
      <w:r>
        <w:t>https://mcp.opencaselaw.ch/entscheid/vd_gerichte_QE14.000972</w:t>
      </w:r>
    </w:p>
    <w:p>
      <w:r>
        <w:t>FR: VD_GERICHTE QE14.000972 du 5 août 2014</w:t>
      </w:r>
    </w:p>
    <w:p>
      <w:r>
        <w:t>IT: VD_GERICHTE QE14.000972 del 5 agosto 2014</w:t>
      </w:r>
    </w:p>
    <w:p>
      <w:pPr>
        <w:pStyle w:val="Heading2"/>
      </w:pPr>
      <w:r>
        <w:t>Erwägungen</w:t>
      </w:r>
    </w:p>
    <w:p>
      <w:r>
        <w:rPr>
          <w:b/>
        </w:rPr>
        <w:t>E. 1</w:t>
      </w:r>
    </w:p>
    <w:p>
      <w:r>
        <w:t>Le recours est dirigé contre une décision du juge de paix instituant une curatelle de portée de générale provisoire à forme des art. 398 et 445 al. 1 CC en faveur d’A.E.________.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w:t>
      </w:r>
    </w:p>
    <w:p>
      <w:r>
        <w:rPr>
          <w:b/>
        </w:rPr>
        <w:t>E. 2</w:t>
      </w:r>
    </w:p>
    <w:p>
      <w:r>
        <w:t>a) La Chambre des curatelles, qui n'est pas tenue par les moyens et les conclusions des parties, examine d'office si la décision n'est pas affectée de vices d'ordre formel. b) A.E.________ n’a pas été entendu par le premier juge à son audience du 20 janvier 2014. Il ressort toutefois du procès-verbal de dite audience qu’il a été dispensé de comparution personnelle en raison de son état de santé à la suite du courrier du docteur X.________ du 14 janvier 2014. En outre, par lettre du 1er janvier 2014, il avait déclaré accepter la curatelle et le curateur désigné, soit S.________. La décision est ainsi formellement correcte et il convient d'examiner si elle est justifiée sur le fond.</w:t>
      </w:r>
    </w:p>
    <w:p>
      <w:r>
        <w:rPr>
          <w:b/>
        </w:rPr>
        <w:t>E. 3</w:t>
      </w:r>
    </w:p>
    <w:p>
      <w:r>
        <w:t>Les recourants contestent la curatelle de portée générale provisoire instituée en faveur d’A.E.________. Ils font valoir qu’elle ne se justifie plus, le «conseil de famille» ayant décidé de s’occuper de ce dernier et E.E.________ ayant été désigné «gestionnaire responsable». a) Selon l'art. 390 al. 1 CC, l'autorité de protection de l'adulte institue une curatelle lorsqu'une personne majeure est partiellement ou totalement empêchée d'assurer elle-même la sauvegarde de ses intérêts</w:t>
      </w:r>
    </w:p>
    <w:p>
      <w:r>
        <w:t>- 9 -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Introduction au nouveau droit de protection de l'adulte, 2011,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Dans ce dernier cas,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in Commentaire du droit de la famille [CommFam], Protection de l’adulte, Berne 2013, nn. 16 et 17 pp. 387 ss). Cette disposition permet d'apporter à la personne concernée l'aide dont elle a besoin dans des cas où l'état de faiblesse ne peut être attribué de manière claire à une déficience mentale ou à un trouble psychique (Henkel, Basler Kommentar, op. cit., n. 14 ad art. 390 CC, p. 224).</w:t>
      </w:r>
    </w:p>
    <w:p>
      <w:r>
        <w:t>- 10 -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Droit de la protection de l’adulte, Guide pratique COPMA, 2012, n. 5.10, p. 138). La mesure ordonnée doit en outre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b)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 et 232).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 et 509, p. 230; Henkel, op. cit., n. 10 ad art.</w:t>
      </w:r>
    </w:p>
    <w:p>
      <w:r>
        <w:t>- 11 - 398 CC, p. 270), soit lorsque des mesures plus ciblées sont insuffisantes (Guide pratique COPMA, n. 5.51, p. 155). La curatelle de portée générale ne peut ainsi être instituée que si l'intéressé a «particulièrement besoin d'aide», en raison notamment d'une incapacité durable de discernement (art. 398 al. 1 in fine CC). Cette exigence renforcée complète les conditions générales de l'art. 390 CC (Meier/Lukic, op. cit., n. 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Henkel, op. cit., n. 12 ad art. 398 CC, p. 270; sur le tout : JT 2013 III 44). c) L'autorité de protection prend, d'office ou à la demande d'une personne partie à la procédure, toutes les mesures provisionnelles nécessaires pendant la durée de la procédure. Elle peut notamment ordonner une mesure de protection de l'adulte à titre provisoire (art. 445 al. 1 CC). Ainsi, le retrait de l'exercice des droits civils peut constituer provisoirement l'ultima ratio, si le motif fondant l'instauration de la curatelle de portée générale est hautement vraisemblable (Auer/Marti, Basler Kommentar, op. cit., nn. 16 et 29 ad art. 445 CC; Steck, in CommFam, op. cit., n. 10 ad art. 445 CC). S’agissant d’une mesure provisoire, il suffit que la cause et la condition soient réalisées à première vue (JT 2005 III 51).</w:t>
      </w:r>
    </w:p>
    <w:p>
      <w:r>
        <w:t>- 12 - d) En l’espèce, il ressort du dossier que les capacités mentales d’A.E.________ ont diminué en raison de son grand âge et qu’il n’est plus à même de gérer ses affaires correctement. De plus, sa santé est fragile et il a besoin d’une aide continue pour ses soins. Par ailleurs, A.E.________ dispose d’une fortune relativement importante, constituée d’espèces, de titres et d’immobilier. Or, un neveu de son épouse, venu de Pologne, aurait eu accès à ses comptes postaux et à différentes affaires patrimoniales. Une plainte pénale a du reste été déposée à son encontre pour usure. En outre, E.E.________, fils de l’intéressé revenu du Vénézuela pour s’occuper de lui, vit dans son appartement sans participer à aucuns frais de quelque nature que ce soit. Il apparaît ainsi que chaque partie de la famille cherche à prendre les commandes et il est à craindre que certaines personnes tentent de tirer profit de sa fortune. Au regard des éléments précités, tant la cause que la condition de la curatelle de portée générale sont réalisées prima facie, à tout le moins dans le cadre provisionnel. En effet, A.E.________ se trouve dans un état de faiblesse au sens de l’art. 390 al. 1 ch. 1 CC qui l’empêche de gérer ses affaires conformément à ses intérêts. En outre, au vu de ses troubles, il a besoin d’une assistance générale, englobant l’assistance personnelle et la gestion de l’entier de ses affaires financières et administratives, qu’il ne peut assumer lui-même. A l’instar du juge de paix, il se justifie donc de considérer qu’une curatelle de portée générale provisoire est la seule à même, tout au moins provisoirement et jusqu'à de plus amples informations, d’apporter au recourant la protection dont il a besoin. L'institution d'une mesure moins incisive apparaît en l’état insuffisante pour sauvegarder ses intérêts.</w:t>
      </w:r>
    </w:p>
    <w:p>
      <w:r>
        <w:t>- 13 -</w:t>
      </w:r>
    </w:p>
    <w:p>
      <w:r>
        <w:rPr>
          <w:b/>
        </w:rPr>
        <w:t>E. 4</w:t>
      </w:r>
    </w:p>
    <w:p>
      <w:r>
        <w:t>Les recourants s’opposent également à la désignation de S.________ en qualité de curateur au motif qu’E.E.________ serait à même de gérer les affaires de son père, en accord avec une partie de la famille. a) Aux termes de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(Guide pratique COPMA, n. 6.21, p. 186; Meier/Lukic, op. cit., n. 546, p. 249). Par ailleurs, si les souhaits de la famille doivent également être pris en considération, l'autorité n'est pas liée par les choix émis : la loi l'enjoint uniquement à en tenir compte "autant que possible". Il résulte d'une telle formulation que la proposition de la personne sous curatelle aura plus de poids que celle des proches, l'autorité de protection ne pouvant la rejeter que si la personne proposée n'est pas apte à exercer le mandat (Meier/Lukic, op. cit., n. 547, p. 250). Il ne sera donc tenu compte que de</w:t>
      </w:r>
    </w:p>
    <w:p>
      <w:r>
        <w:t>- 14 - manière subsidiaire des propositions de proches, soit lorsqu’il n’existe aucune personne de confiance proposée par la personne concernée qui soit apte à exercer le mandat (Reusser, Basler Kommentar, op. cit., n. 6 ad art. 401 CC, p. 300). Les «conditions requises» pour la désignation du curateur proposé par la personne concernée se réfèrent aux critères de l'art. 400 al. 1 CC. La personne doit ainsi disposer des aptitudes personnelles et professionnelles, ainsi que de la disponibilité suffisante pour assumer sa tâche. Il y a lieu de consacrer une attention particulière au risque de conflit d'intérêts (Reusser, Basler Kommentar, n. 14 ad art. 401 CC, p. 302; TF 5A_443/2008 du 14 octobre 2008 c. 3). Un tel risque n'existe pas du seul fait que la personne proposée soit membre de la famille ou un proche et que d'autres membres de la famille s'opposent à cette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RDT 1995, p. 147; CTUT 26 janvier 2012/29). Enfin, le refus de la personne concernée ne saurait entraver la mise en oeuvre de la mesure de protection (Meier/Lukic, op. cit., nn. 548 ss, pp. 250 et 251 et réf citées; Leuba et crts, CommFam, op. cit., n. 4 ad art. 401 al. 3 CC, p. 520; De Luze et crts, Droit de la famille, Lausanne 2013, n. 3.1 ad art. 401 al. 3 CC, p. 686; Guide pratique COPMA, n. 6.22, p. 187; CCUR 18 juin 2013/159). b) En l’espèce, il convient au préalable de relever qu’aucune critique ne peut être formulée à l’encontre des compétences du curateur désigné et de la manière dont il a rempli sa tâche, celui-ci ayant au contraire accompli un excellent travail. Il y a également lieu de rappeler qu’à ce stade, la décision attaquée ne fixe pas la situation de manière définitive. En effet, il s’agit d’une ordonnance de mesures provisionnelles qui régit par conséquent la</w:t>
      </w:r>
    </w:p>
    <w:p>
      <w:r>
        <w:t>- 15 - situation jusqu’à droit connu sur le fond, soit le résultat de l’enquête ouverte par le juge de paix et les mesures définitives qui devront être prises. Une nouvelle décision sera donc rendue ultérieurement, décision qui devra soit lever la mesure, soit la confirmer, avec le curateur en place ou un curateur proche de la famille. Enfin, la décision du «conseil de famille» sur laquelle se fondent les recourants pour demander que le curateur S.________ soit relevé de sa mission, le soutien de la personne concernée pouvant être assuré par son fils E.E.________, n’a pas été signée par l’entier des membres de la famille. En effet, l’épouse d’A.E.________ n’a pas été impliquée dans cette «convention», ni un quelconque représentant de celle-ci. Cet accord ne saurait dès lors avoir de portée, pour autant d’ailleurs qu’il puisse en avoir une dans le cadre d’une procédure de mesure de protection de l’adulte, ce qui est pour le moins douteux. Au surplus, il ressort de l’instruction qu’E.E.________, qui devrait être désigné comme «gestionnaire responsable», vit en réalité à la charge de son père. Il existe donc un conflit d’intérêts entre la personne proposée par une partie de la famille et la personne concernée. Partant, le maintien de S.________ dans son mandat de curateur se justifie pleinement, tout au moins tant que l’enquête n’a pas répondu aux nombreuses questions qui se posent encore dans ce dossier.</w:t>
      </w:r>
    </w:p>
    <w:p>
      <w:r>
        <w:rPr>
          <w:b/>
        </w:rPr>
        <w:t>E. 5</w:t>
      </w:r>
    </w:p>
    <w:p>
      <w:r>
        <w:t>En conclusion, le recours interjeté par A.E.________ et E.E.________ doit être rejeté et l’ordonnance entreprise confirmée. Le présent arrêt peut être rendu sans frais judiciaires (art. 74a al. 4 TFJC [Tarif du 28 septembre 2010 des frais judiciaires civils, RSV 270.11.5]).</w:t>
      </w:r>
    </w:p>
    <w:p>
      <w:r>
        <w:t>- 16 - Par ces motifs, la Chambre des curatelles du Tribunal cantonal, statuant à huis clos, prononce : I. Le recours est rejeté. II. La décision est confirmée. III. L’arrêt est rendu sans frais judiciaires. IV. L'arrêt motivé est exécutoire. La présidente : La greffière : Du 5 août 2014 Le dispositif de l'arrêt qui précède est communiqué par écrit aux intéressés. La greffière : Du L'arrêt qui précède, dont la rédaction a été approuvée à huis clos, est notifié à : - M. A.E.________, - M. E.E.________, - M. S.________,</w:t>
      </w:r>
    </w:p>
    <w:p>
      <w:r>
        <w:t>- 17 - et communiqué à : -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