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QE13.007820 vom 2. November 2023</w:t>
      </w:r>
    </w:p>
    <w:p>
      <w:r>
        <w:t>VD Tribunal cantonal, 2023-11-02, FR</w:t>
      </w:r>
    </w:p>
    <w:p>
      <w:r>
        <w:rPr>
          <w:b/>
        </w:rPr>
        <w:t xml:space="preserve">Quelle: </w:t>
      </w:r>
      <w:r>
        <w:t>https://mcp.opencaselaw.ch/entscheid/vd_gerichte_QE13.007820</w:t>
      </w:r>
    </w:p>
    <w:p>
      <w:r>
        <w:t>FR: VD_GERICHTE QE13.007820 du 2 novembre 2023</w:t>
      </w:r>
    </w:p>
    <w:p>
      <w:r>
        <w:t>IT: VD_GERICHTE QE13.007820 del 2 novembre 2023</w:t>
      </w:r>
    </w:p>
    <w:p>
      <w:pPr>
        <w:pStyle w:val="Heading2"/>
      </w:pPr>
      <w:r>
        <w:t>Erwägungen</w:t>
      </w:r>
    </w:p>
    <w:p>
      <w:r>
        <w:rPr>
          <w:b/>
        </w:rPr>
        <w:t>E. 11</w:t>
      </w:r>
    </w:p>
    <w:p>
      <w:r>
        <w:t>avril 2023 et de la lecture de l’OGPCT. Par courrier daté du 30 avril 2023 et reçu par la justice de paix le 14 juillet 2023, la curatrice a requis de l’autorité de protection, en l’absence de nouvelles de sa part et d’accusé de réception, une décision formelle par rapport aux investissements proposés. Il résulte de ce qui précède que la juge de paix a rendu une décision sur le montant à investir pour solder l’hypothèque de la maison</w:t>
      </w:r>
    </w:p>
    <w:p>
      <w:r>
        <w:t>- 11 - familiale et le prêt y relatif (décision du 4 octobre 2022), mais pas sur les autres investissements proposés par la curatrice. Elle a certes répondu aux courriers d’A.T.________ à ce sujet, mais n’a toutefois jamais rendu de décision qui analyse les produits ou investissements proposés et expose les motifs pour lesquels ils ne pourraient pas être autorisés en application de l’OGPCT. On relèvera du reste qu’aucune indication des voies de droit ne figure au pied des correspondances de la juge de paix des 29 septembre 2022 et 11 avril 2023. 3. 3.1 En conclusion, le recours doit être admis et la cause renvoyée à l’autorité de protection pour qu’elle statue sur la requête d’A.T.________ du 2 septembre 2022 dans un délai de trente jours suivant la notification du présent arrêt. 3.2 Le présent arrêt peut être rendu sans frais judiciaires (art. 74a al. 4 TFJC [Tarif du 28 septembre 2010 des frais judiciaires civils ; BLV 270.11.5]). Par ces motifs, la Chambre des curatelles du Tribunal cantonal, statuant à huis clos, prononce : I. Le recours est admis. II. Ordre est donné à l’autorité de protection de statuer sur la requête d’A.T.________ du 2 septembre 2022 dans un délai de trente jours dès notification du présent arrêt. III. L’arrêt est rendu sans frais judiciaires de deuxième instance.</w:t>
      </w:r>
    </w:p>
    <w:p>
      <w:r>
        <w:t>- 12 - IV. L'arrêt est exécutoire. La présidente : La greffière : Du L'arrêt qui précède, dont la rédaction a été approuvée à huis clos, est notifié à : - Mme A.T.________, - M. B.T.________,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