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QE12.011444 vom 27. Oktober 2016</w:t>
      </w:r>
    </w:p>
    <w:p>
      <w:r>
        <w:t>VD Tribunal cantonal, 2016-10-27, FR</w:t>
      </w:r>
    </w:p>
    <w:p>
      <w:r>
        <w:rPr>
          <w:b/>
        </w:rPr>
        <w:t xml:space="preserve">Quelle: </w:t>
      </w:r>
      <w:r>
        <w:t>https://mcp.opencaselaw.ch/entscheid/vd_gerichte_QE12.011444</w:t>
      </w:r>
    </w:p>
    <w:p>
      <w:r>
        <w:t>FR: VD_GERICHTE QE12.011444 du 27 octobre 2016</w:t>
      </w:r>
    </w:p>
    <w:p>
      <w:r>
        <w:t>IT: VD_GERICHTE QE12.011444 del 27 ottobre 2016</w:t>
      </w:r>
    </w:p>
    <w:p>
      <w:pPr>
        <w:pStyle w:val="Heading2"/>
      </w:pPr>
      <w:r>
        <w:t>Erwägungen</w:t>
      </w:r>
    </w:p>
    <w:p>
      <w:r>
        <w:rPr>
          <w:b/>
        </w:rPr>
        <w:t>E. 1.1</w:t>
      </w:r>
    </w:p>
    <w:p>
      <w:r>
        <w:t>Le recours est dirigé contre une décision de la justice de paix relevant W.________ de son mandat de curateur privé et désignant en qualité de curateur de la personne concernée un curateur professionnel en la personne de J.________, assistante sociale au sein de l’OCTP, en application des art. 400 et 422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w:t>
      </w:r>
    </w:p>
    <w:p>
      <w:r>
        <w:t>- 7 - trop élevées (Steck, Basler Kommentar, Zivilgesetzbuch I, 5e éd., 2014 Bâle,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w:t>
      </w:r>
    </w:p>
    <w:p>
      <w:r>
        <w:t>- 8 - protection de l'adulte (Reusser, Basler Kommentar, op. cit., nn. 6 ss ad art. 450d CC, p. 2640).</w:t>
      </w:r>
    </w:p>
    <w:p>
      <w:r>
        <w:rPr>
          <w:b/>
        </w:rPr>
        <w:t>E. 1.3</w:t>
      </w:r>
    </w:p>
    <w:p>
      <w:r>
        <w:t>En l’espèce, le recours, motivé, a été interjeté en temps utile. Sa recevabilité paraît douteuse dès lors qu’il a été signé par le Chef de service de l’OCTP et n’a pas été signé par la curatrice au bénéfice d’un mandat ad personam. Le Chef de service est en effet un tiers, qui comme tel défend les intérêts de son office et non l’intérêt de la personne concernée. Le recours aurait donc dû être signé – ou à tout le moins contresigné – par la curatrice. Au vu de la pratique assez large jusqu’à présent de la Chambre des curatelles (cf. notamment CCUR 8 septembre 2015/218 consid. 1), cette question peut toutefois rester indécise, le recours devant de toute manière être rejeté pour les motifs exposés ci- après. Le recours étant manifestement mal fondé, au vu des considérations qui sont développées ci-dessous, la Chambre des curatelles a renoncé à consulter l’autorité de protection.</w:t>
      </w:r>
    </w:p>
    <w:p>
      <w:r>
        <w:rPr>
          <w:b/>
        </w:rPr>
        <w:t>E. 2.1</w:t>
      </w:r>
    </w:p>
    <w:p>
      <w:r>
        <w:t>La recourante soutient que la situation de la personne concernée ne concerne pas un cas lourd au sens de l’art. 40 al. 4 LVPAE et que le mandat peut être confié à un curateur privé. Elle fait valoir que la désignation d’une curatrice professionnelle est liée uniquement au fait que le curateur privé a atteint la fin de la période légale du mandat et nullement à la lourdeur du dossier, qu’il ne résulte pas du dossier que la situation de la personne concernée aurait évolué et nécessiterait l’assistance d’un curateur professionnel, que sa situation semble au contraire stable, qu’il n’y aurait pas de démarches particulières à entreprendre et que la situation financière de l’intéressé serait d’ailleurs simple à gérer.</w:t>
      </w:r>
    </w:p>
    <w:p>
      <w:r>
        <w:t>- 9 -</w:t>
      </w:r>
    </w:p>
    <w:p>
      <w:r>
        <w:rPr>
          <w:b/>
        </w:rPr>
        <w:t>E. 2.2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une personne exerçant la fonction à titre privé peut être chargée d’une curatelle ; la nécessité de continuer à confier des curatelles à des personnes privées n’est contestée ni dans la doctrine ni dans la jurisprudence, cette solution présentant « l’avantage de contrer quelque peu la tendance consistant à déléguer la responsabilité d’aider son prochain à des professionnels et à des institutions » (Message du 28 juin 2006 concernant la révision du Code civil suisse [Protection des personnes, droit des personnes, et droit de la filiation], FF 2006 pp. 6635 ss, spéc. p. 6683 ch. 2.2.5). La doctrine ne remet ainsi pas en discussion l’intervention de curateurs privés (cf. Reusser, Basler Kommentar, op. cit., nn. 14 s. ad art. 400 CC, p. 2241 ; Häfeli, Commentaire du droit de la famille, Protection de l’adulte, Berne 2013, n. 7 ad art. 400 CC, p. 507 s. ; Meier, op. cit., nn. 458 ss, pp. 454 ss). Si la loi ne consacre pas de hiérarchie entre les différentes catégories de curateurs (FF 2006 p. 6683 ch. 2.2.5) – plusieurs dispositions étant toutefois destinées au curateur professionnel (cf. art. 404 aI. 1 2ème phr., 421 ch. 3, 424 2ème phr. et 425 al. 1 2ème phr. CC) – cela ne signifie pas qu’un curateur privé pourrait être investi de n’importe quelle mesure de protection. Comme l’observe le Conseil fédéral, la complexité de certaines tâches limite le recours à des non-professionnels (loc. cit.). Ces considérations ne sont pas étrangères à l’art. 40 al. 4 LVPAE (TF 5A_699/2013 du 29 novembre 2014 consid. 4.1). L'art. 40 LVPAE prévoit une distinction entre les mandats de protection pouvant être confiés à des curateurs ou tuteurs privés (al. 1, cas « simples » « légers ») et ceux pouvant être attribués à l'entité de curateurs et tuteurs professionnels (al. 4, cas « lourds »). Selon l'art. 40 al. 1 LVPAE, sont en principe confiés à un tuteur/curateur privé les mandats de protection pour lesquels une</w:t>
      </w:r>
    </w:p>
    <w:p>
      <w:r>
        <w:t>- 10 -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l'art. 40 al. 1 LVPAE (let. h) et tout autre cas qui, en regard des lettres a) à h) de l'art. 40 al. 4 LVPAE,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w:t>
      </w:r>
    </w:p>
    <w:p>
      <w:r>
        <w:t>- 11 -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2.3</w:t>
      </w:r>
    </w:p>
    <w:p>
      <w:r>
        <w:t>En l’espèce, le fait que le mandat ait été confié dans un premier temps à un curateur privé n’est pas décisif pour considérer s’il s’agit ou non d’un cas lourd. Il résulte en effet des constatations du précédent curateur et de l’assesseur de la justice de paix que le bon déroulement du mandat, ainsi que l’entente entre l’intéressé et le curateur étaient dus à la possibilité pour ceux-ci de communiquer dans la langue d’origine du premier. Il résulte certes du dossier que la gestion administrative est assurée par le tandem SASH et EMS et que l’intéressé séjourne actuellement en appartement protégé. Sa situation financière et administrative semble donc ne pas poser de difficultés notables. Dans son courrier du 26 janvier 2016, le responsable de l’EMS a toutefois relevé le caractère prioritaire d’une constance administrative et financière pour garantir la stabilité psychique de l’intéressé. Il soulève également que la situation est « particulièrement compliquée de par sa problématique et son statut atypique ». Dans le cadre de l’accomplissement de son mandat, le premier curateur a rendu régulièrement visite à la personne concernée, en tous les cas une fois par mois. L’intéressé souffre d’importants troubles psychiatriques et de difficultés à communiquer, les échanges avec son précédent curateur ayant été facilités par une langue étrangère commune. A cet égard, la situation de la personne concernée est objectivement trop lourde à gérer pour un curateur privé, seule l’existence d’une langue commune ayant permis au curateur privé de fonctionner. Il s’agit dès lors d’un « cas lourd ». Il n’est donc pas en soi contradictoire de désigner aujourd’hui un curateur professionnel, alors que la curatelle avait auparavant été exercée par un curateur privé. Dans ces conditions, la Chambre des curatelles considère que l’on se trouve en présence d’un cas qui peut être objectivement évalué</w:t>
      </w:r>
    </w:p>
    <w:p>
      <w:r>
        <w:t>- 12 - comme lourd à gérer pour un curateur privé au sens de l’art. 40 al. 1 LVPAE et qu’il est dans l’intérêt de la personne concernée que la mesure soit confiée à un curateur professionnel. Il appartiendra à ce dernier d’examiner si l’assistance personnelle dont a besoin l’intéressé peut lui être fournie d’une autre manière et, cas échéant, de mettre en place un accompagnement adéquat. Une telle démarche pourrait éventuellement rendre superflue l’intervention de l’OCTP mais, en l’état, la présence d’un curateur professionnel est indispensable. Pour ces motifs, la décision des premiers juges ne prête pas le flanc à la critique et doit être confirmée.</w:t>
      </w:r>
    </w:p>
    <w:p>
      <w:r>
        <w:rPr>
          <w:b/>
        </w:rPr>
        <w:t>E. 3.1</w:t>
      </w:r>
    </w:p>
    <w:p>
      <w:r>
        <w:t>Le recours de J.________ doit être rejeté et la décision attaquée confirmée.</w:t>
      </w:r>
    </w:p>
    <w:p>
      <w:r>
        <w:rPr>
          <w:b/>
        </w:rPr>
        <w:t>E. 3.2</w:t>
      </w:r>
    </w:p>
    <w:p>
      <w:r>
        <w:t>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motivé est exécutoire. La présidente : La greffière :</w:t>
      </w:r>
    </w:p>
    <w:p>
      <w:r>
        <w:t>- 13 - Du L'arrêt qui précède, dont le dispositif a été communiqué par écrit aux intéressés le 1er novembre 2016, est notifié à : - S.________, personnellement, - J.________, curatrice, Office des curatelles et tutelles professionnelles,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