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QE12.010916 vom 24. April 2013</w:t>
      </w:r>
    </w:p>
    <w:p>
      <w:r>
        <w:t>VD Tribunal cantonal, 2013-04-24, FR</w:t>
      </w:r>
    </w:p>
    <w:p>
      <w:r>
        <w:rPr>
          <w:b/>
        </w:rPr>
        <w:t xml:space="preserve">Quelle: </w:t>
      </w:r>
      <w:r>
        <w:t>https://mcp.opencaselaw.ch/entscheid/vd_gerichte_QE12.010916</w:t>
      </w:r>
    </w:p>
    <w:p>
      <w:r>
        <w:t>FR: VD_GERICHTE QE12.010916 du 24 avril 2013</w:t>
      </w:r>
    </w:p>
    <w:p>
      <w:r>
        <w:t>IT: VD_GERICHTE QE12.010916 del 24 aprile 2013</w:t>
      </w:r>
    </w:p>
    <w:p>
      <w:pPr>
        <w:pStyle w:val="Heading2"/>
      </w:pPr>
      <w:r>
        <w:t>Erwägungen</w:t>
      </w:r>
    </w:p>
    <w:p>
      <w:r>
        <w:rPr>
          <w:b/>
        </w:rPr>
        <w:t>E. 1</w:t>
      </w:r>
    </w:p>
    <w:p>
      <w:r>
        <w:t>Dès le 1er janvier 2013, les mesures de protection de l'adulte sont régies par le nouveau droit de protection de l'adulte (art. 14 al. 1 Tit. fin. CC). L'art. 405 al. 1 CPC (Code de procédure civile du 19 décembre 2008, RS 272), applicable par renvoi de l'art. 450f CC, prévoit que les recours sont régis par le droit en vigueur au moment de la communication de la décision aux parties. La décision entreprise, bien que rendue le 13 novembre 2012, a été communiquée à A.F.________ le 15 janvier 2013, de sorte que le nouveau droit de la protection de l'adulte est applicable au présent recours (Reusser, Basler Kommentar, Erwachsenenschutz, 2012, n. 12 ad art. 14a Tit. fin. CC, p. 759).</w:t>
      </w:r>
    </w:p>
    <w:p>
      <w:r>
        <w:rPr>
          <w:b/>
        </w:rPr>
        <w:t>E. 2</w:t>
      </w:r>
    </w:p>
    <w:p>
      <w:r>
        <w:t>a) Le recours est dirigé contre une décision de l'autorité tutélaire instituant en faveur de A.F.________ une tutelle à forme de l'art. 369 aCC – mesure convertie de par la loi en une curatelle de portée générale au sens de l'art. 398 nCC dès le 1er janvier 2013 –, et nommant en qualité de tutrice – curatrice dès 2013 –R.________. Contre une telle décision, le recours de l'art. 450 CC est ouvert à la Chambre des curatelles (art. 8 LVPAE [Loi du 29 mai 2012 d'application du droit fédéral de la protection de l'adulte et de l'enfant, RSV 211.255] et 76 al. 2 LOJV [loi d'organisation judiciaire du 12 décembre</w:t>
      </w:r>
    </w:p>
    <w:p>
      <w:r>
        <w:t>- 6 - 1979,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auprès du juge (art. 450 al. 3 CC). b) En l’espèce, interjeté en temps utile par l'intéressée elle- même et dûment motivé, le présent recours est recevable à la forme. Interpellée conformément à l’art. 450d CC, l’autorité de protection a fait part de sa position quant au recours dans une lettre du 12 mars 2013.</w:t>
      </w:r>
    </w:p>
    <w:p>
      <w:r>
        <w:rPr>
          <w:b/>
        </w:rPr>
        <w:t>E. 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w:t>
      </w:r>
    </w:p>
    <w:p>
      <w:r>
        <w:rPr>
          <w:b/>
        </w:rPr>
        <w:t>E. 4</w:t>
      </w:r>
    </w:p>
    <w:p>
      <w:r>
        <w:t>a) La Chambre des curatelles, qui n'est pas tenue par les moyens et les conclusions des parties, examine d'office si la décision n'est pas affectée de vices d'ordre formel (Poudret/Haldy/Tappy, Procédure civile vaudoise, 3e éd., Lausanne 2002, nn. 3 et 4 ad art. 492 CPC-VD, p. 763, point de vue qui demeure valable sous l'empire du nouveau droit). b) A.F.________ était légalement domiciliée à St-Sulpice lorsque l'autorité tutélaire a été saisie. La Justice de paix du district de l'Ouest lausannois était donc compétente au regard des art. 379 al. 1 CPC-VD (les dispositions du Code de procédure civile vaudois du 14 décembre 1966 touchant à l’interdiction civile étant applicables jusqu’au 31 décembre 2012 selon l’art. 174 CDPJ al. 2 [Code de droit privé judiciaire vaudois du 12 janvier 2010]) et 376 al. 1 aCC pour rendre la décision querellée. Lors de sa séance du 13 novembre 2012, cette autorité a procédé in corpore à</w:t>
      </w:r>
    </w:p>
    <w:p>
      <w:r>
        <w:t>- 7 - l'audition de l'intéressée (cf. art. 382 al. 2 CPC-VD). Le droit d'être entendu de celle-ci a par conséquent été respecté. En outre, la décision attaquée se fonde notamment, conformément à l’art. 380 al. 5 CPC-VD, sur un rapport d’expertise psychiatrique établi le 3 octobre 2012 par le Dr C.________ et la thérapeute I.________, respectivement médecin chef et psychologue associée auprès du Service de psychiatrie générale du Département de psychiatrie [...]. Conforme aux dispositions en vigueur jusqu’au 31 décembre 2012 et ne justifiant pas d’être complétée au sens de l’art. 14a al. 3 Tit. fin. CC, la décision est donc formellement correcte et peut être examinée sur le fond.</w:t>
      </w:r>
    </w:p>
    <w:p>
      <w:r>
        <w:rPr>
          <w:b/>
        </w:rPr>
        <w:t>E. 5</w:t>
      </w:r>
    </w:p>
    <w:p>
      <w:r>
        <w:t>a) Les premiers juges ont prononcé une interdiction civile à forme de l'art. 369 aCC, mesure convertie de par la loi en une curatelle de portée générale au sens de l'art. 398 CC dès le 1er janvier 2013. Dès lors que cette décision n’est pas entrée en force en raison du recours interjeté par l’intéressée et que le nouveau droit est immédiatement applicable aux procédures pendantes, y compris en deuxième instance (art. 14 al. 1 Tit. fin. CC), il y a lieu d'examiner, bien que A.F.________ ne soulève aucun grief dans ce sens dans son recours, si la mesure de curatelle de portée générale instituée est justifiée. b) Selon l'art. 390 al. 1 CC,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w:t>
      </w:r>
    </w:p>
    <w:p>
      <w:r>
        <w:t>- 8 - besoin de protection (al.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troubles psychiques englobent toutes les pathologies reconnues en psychiatrie, soit les psychoses et les psychopathies ayant des causes physiques ou non, ainsi que les démences. La notion vise également les dépendances, en particulier la toxicomanie, l'alcoolisme et la pharmacodépendance (Meier/Lukic, op. cit., n. 400, p. 191; Guide pratique COPMA, n. 5.9, p. 137). Pour fonder une curatelle, il faut encore que l'état de faiblesse entraîne un besoin de protection de la personne, à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c) L'art. 398 CC prévoit que la curatelle de portée générale est instituée lorsqu'une personne a particulièrement besoin d'aide, en raison notamment d'une incapacité durable de discernement (al. 1). Elle couvre</w:t>
      </w:r>
    </w:p>
    <w:p>
      <w:r>
        <w:t>- 9 - tous les domaines de l'assistance personnelle, de la gestion du patrimoine ou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 231).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508-509, p. 191; Henkel, Basler Kommentar, Erwachsenenschutz, 2012, n. 10 ad art. 398 CC, p. 270),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CC). Cette exigence renforcée complète les conditions générales de l'art. 390 CC (Meier/Lukic, op. cit., n. 510, p. 230). L'incapacité de discernement n'est mentionnée qu'à titre d'exemple et ne saurait être comprise comme une condition stricte d'institution d'une mesure de curatelle de portée générale (Guide pratique COPMA, n. 5.51, p. 155). Pour apprécier le besoin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w:t>
      </w:r>
    </w:p>
    <w:p>
      <w:r>
        <w:t>- 10 - (Guide pratique COPMA, n. 5.52, p. 155; Henkel, op. cit., n. 12 ad art. 398 CC, p. 270). d) En l'espèce, il résulte clairement du rapport d'expertise établi le 3 octobre 2012 par le Dr C.________ et par I.________, respectivement Médecin chef et psychologue associée auprès du Centre d'expertises du Département de psychiatrie [...], que A.F.________ souffre d'un état confusionnel persistant dans le cadre d'une probable démence de type dégénératif, de troubles cognitifs sévères, d'un syndrome parkinsonien d'origine indéterminée, d'ostéoporose et de dénutrition. L’expertisée est fortement dépendante de son entourage pour les activités de la vie quotidienne (déplacements, toilette, repas, prise de médicaments) et souffre d’une altération globale très significative de ses fonctions cognitives (notamment désorientation quant à sa situation, troubles de la mémoire immédiate et des faits récents, altération de la compréhension), qui ne permet pas d'envisager son retour à domicile au vu des soins continus et de l'encadrement important dont elle a besoin. Au vu de cette expertise, qui est complète et convaincante, la cause et la condition d'une curatelle de portée générale sont ainsi manifestement réalisées. Les graves troubles constatés constituent à l'évidence des troubles psychiques au sens de l'art. 390 al. 1 ch. 1 CC et le besoin particulier d'aide de la recourante est avéré. De par l'étendue de l'aide administrative et médicale que nécessite son état de santé, seule une mesure de curatelle de portée générale est susceptible de répondre à l'ensemble des besoins de la recourante, une mesure moins incisive paraissant d'emblée insuffisante pour la protéger. e) Il y a donc lieu de confirmer la décision de la justice de paix du 13 novembre 2012, en ce sens que, le nouveau droit de la protection de l’adulte étant immédiatement applicable, est instituée en faveur de A.F.________ une curatelle de portée générale en application de l’art. 398 CC.</w:t>
      </w:r>
    </w:p>
    <w:p>
      <w:r>
        <w:t>- 11 -</w:t>
      </w:r>
    </w:p>
    <w:p>
      <w:r>
        <w:rPr>
          <w:b/>
        </w:rPr>
        <w:t>E. 6</w:t>
      </w:r>
    </w:p>
    <w:p>
      <w:r>
        <w:t>a) La recourante conteste que R.________ soit nommée sa curatrice, faisant valoir que cette personne est déjà tutrice de l’une de ses filles, [...], et qu’il existerait à l’évidence un conflit d’intérêt potentiel important si elle devait également être en charge des intérêts de la prénommée (recours, p. 4). En outre, elle conteste les mesures prises par la curatrice en vue de vendre la maison familiale de St-Sulpice (recours, p. 4-5). b)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Il y a lieu de consacrer une attention particulière au risque de conflit d'intérêts (Reusser, Basler Kommentar, Erwachsenenschutz, 2012, n. 14 ad art. 401 CC; TF 5A_443/2008 du 14 octobre 2008 c. 3). Un tel risque n'existe pas du seul fait que la personne proposée soit membre de la famille ou un proche et que d'autres membres de la famille s'opposent à cette désignation, invoquant le fait qu'il serait préférable de nommer un tiers extérieur à la famille. La nomination d'un tel tiers ne doit être envisagée que s'il existe entre les proches parents un litige susceptible d'influencer les intérêts de la personne concernée (arrêt argovien publié in RDT 1995, p. 147; CTUT 26 janvier 2012/29). c) En l’espèce, il n’est pas contesté que R.________ possède les aptitudes et les connaissances nécessaires à l’accomplissement des tâches qui lui sont confiées et qu’elle dispose du temps nécessaire pour les exécuter en personne, comme en attestent les pièces au dossier. Les préoccupations relayées par le conseil de la recourante – qui vont dans le sens des préoccupations émises par la fille de la recourante, N.________, lors de l’audience du 13 novembre 2013 – au sujet de la vente éventuelle de la maison familiale de St-Sulpice ne sont nullement de nature à remettre en cause les aptitudes de R.________ à exécuter avec diligence son mandat de curatrice. Elles sont sans incidence sur le sort du présent recours, qui ne porte pas sur les actes de la curatrice. A cet égard, on relève que la juge de paix, comme elle l’a indiqué dans une lettre du 27</w:t>
      </w:r>
    </w:p>
    <w:p>
      <w:r>
        <w:t>- 12 - mars 2013 à la Chambre des curatelles, avait fixé une audience présidentielle au 23 avril 2013, afin d’examiner la requête déposée par le conseil de A.F.________, « tendant à définir la mission de la curatrice en lien avec la maison de St-Sulpice ». Enfin, le fait que R.________ soit déjà tutrice – respectivement curatrice dès le 1er janvier 2013 – d’une des filles de la recourante, [...], ne s’oppose pas à sa désignation comme curatrice de la recourante dès lors qu’il n’apparaît pas qu’elle puisse concrètement être amenée à prendre des décisions nécessitant un arbitrage entre les intérêts de l’une et de l’autre de ses pupilles.</w:t>
      </w:r>
    </w:p>
    <w:p>
      <w:r>
        <w:rPr>
          <w:b/>
        </w:rPr>
        <w:t>E. 7</w:t>
      </w:r>
    </w:p>
    <w:p>
      <w:r>
        <w:t>a) En conclusion, le recours interjeté par A.F.________ doit être rejeté et la décision entreprise confirmée. Selon l’art. 391 CC, l’autorité détermine les tâches à accomplir dans le cadre de la curatelle en fonction des besoins de la personne concernée. Toutefois, la curatelle de portée générale ne nécessite aucune description des tâches puisque, conformément à la loi (Message, p. 6678; Meier/Lukic, op. cit., n. 516 p. 233), elle couvre tous les domaines de l’assistance personnelle de la gestion du patrimoine et des rapports juridiques avec les tiers. Enfin, il n’y a pas lieu d’ordonner la publication de la mesure prononcée dans la Feuille des Avis Officiels du canton de Vaud (FAO), le nouveau droit ne prévoyant plus l’obligation de procéder à celle- ci (cf. Guide COPMA, n. 5.99). b) Quant à la requête d'assistance judiciaire déposée par la recourante, elle ne peut être admise. En effet, A.F.________ dispose d'une fortune telle qu'elle ne remplit manifestement pas la condition d'indigence posée par l'art. 29 al. 3 Cst. (Constitution fédérale de la Confédération suisse du 18 avril 1999, RS 101) pour bénéficier d’une assistance de l’Etat. c) Les frais du présent arrêt seront arrêtés à 800 fr. (art. 74a al. 1 TFJC [Tarif du 28 septembre 2010 des frais judiciaires civils, RSV 270.11.5]).</w:t>
      </w:r>
    </w:p>
    <w:p>
      <w:r>
        <w:t>- 13 - Par ces motifs, la Chambre des curatelles du Tribunal cantonal, statuant à huis clos, prononce : I. Le recours est rejeté. II. La décision est confirmée. III. La requête d’assistance judiciaire est rejetée. IV. Les frais judiciaires de deuxième instance, arrêtés à 800 fr. (huit cents francs), sont mis à la charge de la recourante A.F.________. Le président : La greffière : Du 24 avril 2013 Le dispositif de l'arrêt qui précède est communiqué par écrit aux intéressés. La greffière : Du</w:t>
      </w:r>
    </w:p>
    <w:p>
      <w:r>
        <w:t>- 14 - L'arrêt qui précède, dont la rédaction a été approuvée à huis clos, est notifié à : - Me Jean Cavalli (pour Mme A.F.________), - Mme R.________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