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QE11.050249 vom 3. August 2016</w:t>
      </w:r>
    </w:p>
    <w:p>
      <w:r>
        <w:t>VD Tribunal cantonal, 2016-08-03, FR</w:t>
      </w:r>
    </w:p>
    <w:p>
      <w:r>
        <w:rPr>
          <w:b/>
        </w:rPr>
        <w:t xml:space="preserve">Quelle: </w:t>
      </w:r>
      <w:r>
        <w:t>https://mcp.opencaselaw.ch/entscheid/vd_gerichte_QE11.050249</w:t>
      </w:r>
    </w:p>
    <w:p>
      <w:r>
        <w:t>FR: VD_GERICHTE QE11.050249 du 3 août 2016</w:t>
      </w:r>
    </w:p>
    <w:p>
      <w:r>
        <w:t>IT: VD_GERICHTE QE11.050249 del 3 agosto 2016</w:t>
      </w:r>
    </w:p>
    <w:p>
      <w:pPr>
        <w:pStyle w:val="Heading2"/>
      </w:pPr>
      <w:r>
        <w:t>Erwägungen</w:t>
      </w:r>
    </w:p>
    <w:p>
      <w:r>
        <w:rPr>
          <w:b/>
        </w:rPr>
        <w:t>E. 1</w:t>
      </w:r>
    </w:p>
    <w:p>
      <w:r>
        <w:t>Le recours est dirigé contre une décision du juge de paix fixant l’indemnité due à D.________ pour son activité de curatrice pour la période du 1er janvier au 1er août 2015.</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w:t>
      </w:r>
    </w:p>
    <w:p>
      <w:r>
        <w:t>- 5 -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motivé et interjeté en temps utile par la bénéficiaire de l’indemnité octroyée, le présent recours est recevable. Il en</w:t>
      </w:r>
    </w:p>
    <w:p>
      <w:r>
        <w:t>- 6 - va de même des pièces produites en deuxième instance, si tant est qu’elles ne figurent pas déjà au dossier. Le recours étant manifestement mal fondé au vu des considérations qui seront développées ci-après, il a été renoncé à consulter l'autorité de protection.</w:t>
      </w:r>
    </w:p>
    <w:p>
      <w:r>
        <w:rPr>
          <w:b/>
        </w:rPr>
        <w:t>E. 2</w:t>
      </w:r>
    </w:p>
    <w:p>
      <w:r>
        <w:t>La recourante conteste le montant de l’indemnité qui lui a été alloué pour son activité de curatrice de feu W.________. Elle affirme que l’activité déployée dans le cadre de son mandat est allée bien au-delà des tâches habituelles liées à une curatelle de portée générale. Elle fait valoir qu’elle a dû s’occuper de tâches dignes d’un responsable des ressources humaines telles que notamment les entretiens avec le personnel, l’engagement de celui-ci, l’établissement des contrats de travail, la gestion du personnel et des conflits et l’aspect des assurances sociales. Elle ajoute qu’elle a également dû se charger de tout l’aspect médical, la santé de feu W.________ étant fragile et les médecins ayant préconisé une aide permanente à domicile. Elle allègue avoir consacré 213,50 heures à l’exécution de ce mandat, soit une moyenne de 7 heures de travail par semaine. Elle relève que la fortune sur laquelle s’est basé le premier juge pour fixer son indemnité ne correspond pas à la réalité, la personne concernée détenant une fortune plus élevée, soit 18'000'000 francs.</w:t>
      </w:r>
    </w:p>
    <w:p>
      <w:r>
        <w:rPr>
          <w:b/>
        </w:rPr>
        <w:t>E. 2.1</w:t>
      </w:r>
    </w:p>
    <w:p>
      <w:r>
        <w:t>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w:t>
      </w:r>
    </w:p>
    <w:p>
      <w:r>
        <w:t>- 7 - En vertu de l’art. 48 al. 2 LVPAE, le tribunal cantonal fixe, par voie réglementaire, le tarif de rémunération du curateur. L’art. 3 al. 3 RCur (Règlement sur la rémunération des curateurs du 18 décembre 2012 ; RSV 211.255.2) prévoit que si le travail effectif ne justifie pas que la rémunération soit fixée à un montant inférieur ou supérieur, la rémunération est arrêtée au minimum à 1'000 fr.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 Selon l'art. 3 al. 4 RCur, le curateur appelé à fournir des services propres à son activité professionnelle a droit, en principe, à une rémunération fixée sur la base du tarif en usage dans sa profession. L’indemnité qui lui est ainsi allouée n’est pas soumise à la TVA, l’activité en cause relevant de la puissance publique. Lorsque le curateur effectue également des opérations sans lien avec son activité professionnelle, celles-ci justifient une indemnité distincte fixée par application analogique de l’alinéa 3. S’agissant des débours, ils font l’objet d’une liste de frais détaillée que le curateur présente à l’autorité compétente en même temps que son rapport annuel; une justification sommaire suffit lorsqu’ils ne dépassent pas 200 fr. par an (art. 2 al. 3 RCur). Les débours et l’indemnité du curateur sont à la charge de la personne concernée (art. 4 al. 1 RCur), lorsque celle-ci n’est pas indigente. Est réputée indigente toute personne concernée dont la fortune nette est inférieure à 5’000 francs (art. 4 al. 2 RCur).</w:t>
      </w:r>
    </w:p>
    <w:p>
      <w:r>
        <w:rPr>
          <w:b/>
        </w:rPr>
        <w:t>E. 2.2</w:t>
      </w:r>
    </w:p>
    <w:p>
      <w:r>
        <w:t>En l’espèce, il ressort du dossier que la recourante allègue les mêmes tâches que la précédente curatrice dans son recours du 17 novembre 2014 contre la décision du 15 octobre 2014. Or, à titre d’exemple, il est improbable que la recourante ait à nouveau dû chercher du personnel médical et/ou du personnel chargé de l’entretien de la</w:t>
      </w:r>
    </w:p>
    <w:p>
      <w:r>
        <w:t>- 8 - maison ou qu’elle ait dû établir de nouveaux contrats de travail pour les employés, ces tâches ne se répétant pas systématiquement chaque année. En outre, les tâches alléguées dans son acte de recours sont beaucoup plus vastes que celles précédemment indiquées dans son rapport du 1er mai 2016. Par ailleurs, la comptabilité de la personne concernée était gérée par une fiduciaire et les affaires juridiques par un avocat. Il résulte de ce qui précède que la recourante ne rend pas vraisemblable le nombre d’heures alléguées. Enfin, l’indemnité octroyée est déjà supérieure au maximum prévu par l’art. 3 al. 3 RCur, soit le 3 pour mille de la fortune de la personne concernée. En effet, selon le « compte de la personne sous curatelle » pour la période du 1er janvier au 1er août 2015 approuvé par la justice de paix le 19 mai 2016, la fortune nette de feu W.________ s’élevait à 2'921'280 fr. 50 au 1er août 2015, dès lors que le portefeuille titres déposé auprès de l’UBS au nom de la fondation [...] a été transféré sur un autre compte de dépôt par le conseil de fondation à cette date.</w:t>
      </w:r>
    </w:p>
    <w:p>
      <w:r>
        <w:rPr>
          <w:b/>
        </w:rPr>
        <w:t>E. 3</w:t>
      </w:r>
    </w:p>
    <w:p>
      <w:r>
        <w:t>En conclusion, le recours de D.________ doit être rejeté et la décision entreprise confirmée. Les frais judiciaires de deuxième instance, arrêtés à 300 fr. (art. 74a al. 1 TFJC [Tarif du 28 septembre 2010 des frais judiciaires civils ; RSV 270.11.5]), sont mis à la charge de la recourante, qui succombe. Par ces motifs, la Chambre des curatelles du Tribunal cantonal, statuant à huis clos, prononce : I. Le recours est rejeté.</w:t>
      </w:r>
    </w:p>
    <w:p>
      <w:r>
        <w:t>- 9 - II. La décision est confirmée. III. Les frais judiciaires, arrêtés à 300 fr. (trois cents francs), sont mis à la charge de la recourante D.________. IV. L'arrêt motivé est exécutoire. La présidente : La greffière : Du 9 août 2016 Le dispositif de l'arrêt qui précède est communiqué par écrit aux intéressés. La greffière : Du L'arrêt qui précède, dont la rédaction a été approuvée à huis clos, est notifié à : - Me Cinzia Petito (pour Mme D.________), - Me Didier Kohli (pour la succession de feu W.________), et communiqué à : - Mme la Juge de paix du district de Lavaux-Oron, par l'envoi de photocopies.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