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QE11.001059 vom 6. Oktober 2020</w:t>
      </w:r>
    </w:p>
    <w:p>
      <w:r>
        <w:t>VD Tribunal cantonal, 2020-10-06, FR</w:t>
      </w:r>
    </w:p>
    <w:p>
      <w:r>
        <w:rPr>
          <w:b/>
        </w:rPr>
        <w:t xml:space="preserve">Quelle: </w:t>
      </w:r>
      <w:r>
        <w:t>https://mcp.opencaselaw.ch/entscheid/vd_gerichte_QE11.001059</w:t>
      </w:r>
    </w:p>
    <w:p>
      <w:r>
        <w:t>FR: VD_GERICHTE QE11.001059 du 6 octobre 2020</w:t>
      </w:r>
    </w:p>
    <w:p>
      <w:r>
        <w:t>IT: VD_GERICHTE QE11.001059 del 6 ottobre 2020</w:t>
      </w:r>
    </w:p>
    <w:p>
      <w:pPr>
        <w:pStyle w:val="Heading2"/>
      </w:pPr>
      <w:r>
        <w:t>Erwägungen</w:t>
      </w:r>
    </w:p>
    <w:p>
      <w:r>
        <w:rPr>
          <w:b/>
        </w:rPr>
        <w:t>E. 1</w:t>
      </w:r>
    </w:p>
    <w:p>
      <w:r>
        <w:t>Par décision du 5 mars 2020, adressée pour notification aux parties le 8 mai 2020, la Justice de paix du district d’Aigle (ci-après : la justice de paix ou les premiers juges) a relevé [...] de son mandat de curateur de K.________, sous réserve de la production d’un compte final et d’une déclaration de remise de biens au nouveau curateur, dans un délai de trente jours dès réception de la décision (I), a nommé en qualité de curatrice [...], assistante sociale au Service des curatelles et des tutelles professionnelles (ci-après : le SCTP) pour exercer ses fonctions dans le cadre de la curatelle de portée générale, au sens de l'art. 398 CC (Code civil suisse du 10 décembre 1907 ; RS 210), instituée en faveur de K.________, née le [...] 1937, mariée, domiciliée route d'[...], à Bex, et dit qu'en cas d'absence de la curatrice désignée personnellement, ledit service assurerait son remplacement en attendant son retour ou la désignation d'un nouveau curateur (II), a dit que la curatrice avait pour tâches d’apporter l’assistance personnelle, représenter et gérer les biens de K.________ avec diligence (III), a invité [...] à remettre au juge, dans un délai de huit semaines dès notification de la décision, un budget annuel et à soumettre les comptes tous les deux ans à l'approbation de l'autorité de protection, avec un rapport sur son activité et sur l'évolution de la situation de K.________ (IV), et a laissé les frais de la décision à la charge de l’Etat (V).</w:t>
      </w:r>
    </w:p>
    <w:p>
      <w:r>
        <w:rPr>
          <w:b/>
        </w:rPr>
        <w:t>E. 2</w:t>
      </w:r>
    </w:p>
    <w:p>
      <w:r>
        <w:t>Par courrier du 24 août 2020, K.________ a recouru contre la décision précitée, en concluant en substance à la réforme du chiffre II de son dispositif en ce sens que, sa fille, [...], soit nommée en qualité de curatrice. Elle a expliqué que ne parlant pas le français, la communication avec sa nouvelle curatrice était très difficile.</w:t>
      </w:r>
    </w:p>
    <w:p>
      <w:r>
        <w:t>- 3 -</w:t>
      </w:r>
    </w:p>
    <w:p>
      <w:r>
        <w:rPr>
          <w:b/>
        </w:rPr>
        <w:t>E. 3</w:t>
      </w:r>
    </w:p>
    <w:p>
      <w:r>
        <w:t>Le recours est dirigé contre une décision de la justice de paix relevant le petit-fils de la personne concernée de son mandat de curateur et nommant en lieu et place [...], assistante sociale au SCTP.</w:t>
      </w:r>
    </w:p>
    <w:p>
      <w:r>
        <w:rPr>
          <w:b/>
        </w:rPr>
        <w:t>E. 3.1.1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Les dispositions de la procédure civile s’appliquent par analogie devant l’instance judiciaire de recours (art. 450f CC).</w:t>
      </w:r>
    </w:p>
    <w:p>
      <w:r>
        <w:rPr>
          <w:b/>
        </w:rPr>
        <w:t>E. 3.1.2</w:t>
      </w:r>
    </w:p>
    <w:p>
      <w:r>
        <w:t>Aux termes de l'art. 138 al. 3 let. a CPC (Code de procédure civile du 19 décembre 2008 ; RS 272), l’acte est réputé notifié en cas d’envoi recommandé, lorsque celui-ci n’a pas été retiré, à l’expiration d’un délai de 7 jours à compter de l’échec de la remise, si le destinataire devait s’attendre à recevoir la notification.</w:t>
      </w:r>
    </w:p>
    <w:p>
      <w:r>
        <w:rPr>
          <w:b/>
        </w:rPr>
        <w:t>E. 3.2</w:t>
      </w:r>
    </w:p>
    <w:p>
      <w:r>
        <w:t>En l’espèce, la recourante devait s’attendre à se voir notifier la décision entreprise, celle-ci ayant déposé, avec son époux, [...] une requête le 10 décembre 2019 tendant au remplacement du curateur désigné. Il lui appartenait ainsi de prendre des dispositions pour recevoir son courrier. Dès lors que l’échec de la remise du pli recommandé a eu lieu le 11 mai 2020 selon le suivi des envois de la Poste, le délai de l’art.</w:t>
      </w:r>
    </w:p>
    <w:p>
      <w:r>
        <w:t>- 4 - 138 al. 3 let. a CPC est arrivé à échéance le 18 mai 2020. Il s’ensuit que le délai de recours de trente jours a commencé à courir le lendemain, soit le 19 mai 2020, pour expirer le mercredi 17 juin 2020. Remis à la Poste le 25 août 2020, le recours est manifestement tardif et par conséquent irrecevable. Le fait que la décision ait été renvoyée à l’intéressée par pli simple le 20 mai 2020 n’y change en effet rien, la justice de paix ayant attiré son attention sur le fait que cette réexpédition ne modifiait pas la fiction de la première notification et le délai de recours (cf. TF 4A_53/2019 du 14 mai 2019 consid. 4.4.4, RSPC 2019, p. 338). Au vu des difficultés de communication exprimées par la recourante dans son courrier du 24 août 2020, la justice de paix est invitée à examiner l’opportunité de désigner un nouveau curateur.</w:t>
      </w:r>
    </w:p>
    <w:p>
      <w:r>
        <w:rPr>
          <w:b/>
        </w:rPr>
        <w:t>E. 4</w:t>
      </w:r>
    </w:p>
    <w:p>
      <w:r>
        <w:t>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w:t>
      </w:r>
    </w:p>
    <w:p>
      <w:r>
        <w:t>- 5 - Le président : La greffière : Du L'arrêt qui précède, dont la rédaction a été approuvée à huis clos, est notifié à : - Mme K.________, - M. [...], - Mme [...], curatrice SCTP,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