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QE10.009433 vom 16. Juni 2014</w:t>
      </w:r>
    </w:p>
    <w:p>
      <w:r>
        <w:t>VD Tribunal cantonal, 2014-06-16, FR</w:t>
      </w:r>
    </w:p>
    <w:p>
      <w:r>
        <w:rPr>
          <w:b/>
        </w:rPr>
        <w:t xml:space="preserve">Quelle: </w:t>
      </w:r>
      <w:r>
        <w:t>https://mcp.opencaselaw.ch/entscheid/vd_gerichte_QE10.009433</w:t>
      </w:r>
    </w:p>
    <w:p>
      <w:r>
        <w:t>FR: VD_GERICHTE QE10.009433 du 16 juin 2014</w:t>
      </w:r>
    </w:p>
    <w:p>
      <w:r>
        <w:t>IT: VD_GERICHTE QE10.009433 del 16 giugno 2014</w:t>
      </w:r>
    </w:p>
    <w:p>
      <w:pPr>
        <w:pStyle w:val="Heading2"/>
      </w:pPr>
      <w:r>
        <w:t>Erwägungen</w:t>
      </w:r>
    </w:p>
    <w:p>
      <w:r>
        <w:rPr>
          <w:b/>
        </w:rPr>
        <w:t>E. 1</w:t>
      </w:r>
    </w:p>
    <w:p>
      <w:r>
        <w:t>Le recours est dirigé contre une décision de la justice de paix nommant un curateur professionnel de l’OCTP en qualité de curateur au sens de l’art. 398 CC de H.________.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w:t>
      </w:r>
    </w:p>
    <w:p>
      <w:r>
        <w:t>- 5 -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Basler Kommentar,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 personne concernée, le présent recours est recevable à la forme. Les pièces produites en deuxième instance sont également recevables. Le recours étant manifestement mal fondé au vu des considérations qui seront développées ci-après, il a été renoncé à consulter l'autorité de protection (cf. art. 450d al. 1 CC). La conclusion tendant à la levée de la curatelle est irrecevable dès lors que la décision entreprise portait uniquement sur la question du changement de curateur. Il en va de même de la conclusion en envoi des décomptes de curatelle manquants. Le recours est en revanche recevable en tant qu’il a trait à la désignation du curateur.</w:t>
      </w:r>
    </w:p>
    <w:p>
      <w:r>
        <w:rPr>
          <w:b/>
        </w:rPr>
        <w:t>E. 2</w:t>
      </w:r>
    </w:p>
    <w:p>
      <w:r>
        <w:t>On ne discerne pas clairement si la recourante conteste la désignation de A.________ en qualité de curateur de manière indépendante de sa conclusion en libération de la curatelle et si son recours tend subsidiairement à ce que Q.________ soit désigné comme curateur. Cette question peut toutefois demeurer ouverte, le recours devant être rejeté dans tous les cas.</w:t>
      </w:r>
    </w:p>
    <w:p>
      <w:r>
        <w:t>- 6 - a)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(Droit de la protection de l’adulte, Guide pratique COPMA, 2012, n. 6.21, p. 186; Meier/Lukic, Introduction au nouveau droit de la protection de l'adulte, 2011, n. 546, p. 249). Les «conditions requises» pour la désignation du curateur proposé par la personne concernée se réfèrent aux critères de l'art. 400 al. 1 CC. La personne doit ainsi disposer des aptitudes personnelles et professionnelles, ainsi que de la disponibilité suffisante pour assumer sa tâche (Reusser, Basler Kommentar, n. 14 ad art. 401 CC, p. 302; TF 5A_443/2008 du 14 octobre 2008 c. 3).</w:t>
      </w:r>
    </w:p>
    <w:p>
      <w:r>
        <w:t>- 7 - b) L'art. 40 LVPAE prévoit une distinction entre les mandats de protection pouvant être confiés à des curateurs ou tuteurs privés (al. 1, «cas simples» ou «cas légers») et ceux pouvant être attribués à l'entité de curateurs et tuteurs professionnels (al. 4, «cas lourds»). Selon l'art. 40 al. 1 LVPAE, sont en principe confiés à un tuteur/curateur privé les mandats de protection pour lesquels une personne respectant les conditions légales de nomination se propose volontairement ou accepte sa désignation sur demande du pupille (let. a); les mandats de protection pouvant être confiés à un notaire, un avocat, une fiduciaire ou tout autre intervenant privé ayant les compétences professionnelles requises pour gérer un patrimoine financier (let. b); les mandats de protection qui concernent les pupilles placés dans une institution qui assume une prise en charge continue (let. c);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w:t>
      </w:r>
    </w:p>
    <w:p>
      <w:r>
        <w:t>- 8 -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L'utilisation des termes «en principe» tant à l'alinéa 1 qu'à l'alinéa 4 de l'art. 40 LVPAE témoigne de la volonté du législateur de laisser une marge d'appréciation à l'autorité de protection quant à la distinction entre les cas simples et les cas lourds. c) En l’espèce, il ressort du dossier que la recourante a des tendances suicidaires, fait des crises d’angoisse et alterne les périodes de totale détresse et d’euphorie. En outre, elle est très crédule et a tendance à faire confiance au premier venu. Enfin, sa situation physique et psychique s’est aggravée et est devenue très difficile à gérer, ce qui a du reste poussé sa précédente curatrice à demander à être relevée de son mandat, étant dépassée par cette tâche. Au vu de ces éléments, il faut considérer, à l’instar des premiers juges et de l’OCTP qui a accepté de prendre en charge le mandat, que la situation de la recourante constitue un cas lourd au sens de l’art. 40 al. 4 LVPAE, à confier à un curateur professionnel, de sorte qu’il ne saurait être donné suite à la requête de la recourante tendant à la désignation de Q.________, ami et voisin, en qualité de curateur. Celui-ci ne pourrait au demeurant apporter qu’une aide administrative «de temps à autre», ce qui serait insuffisant pour assurer à la personne concernée l’aide et la protection dont elle a besoin.</w:t>
      </w:r>
    </w:p>
    <w:p>
      <w:r>
        <w:rPr>
          <w:b/>
        </w:rPr>
        <w:t>E. 3</w:t>
      </w:r>
    </w:p>
    <w:p>
      <w:r>
        <w:t>En conclusion, le recours interjeté par H.________ doit être rejeté dans la mesure où il est recevable et la décision entreprise confirmée.</w:t>
      </w:r>
    </w:p>
    <w:p>
      <w:r>
        <w:t>- 9 - Le présent arrêt peut être rendu sans frais judiciaires (art. 74a al. 4 TFJC [Tarif du 28 septembre 2010 des frais judiciaires civils, RSV 270.11.5]). Par ces motifs, la Chambre des curatelles du Tribunal cantonal, statuant à huis clos, prononce : I. Le recours est rejeté dans la mesure où il est recevable. II. La décision est confirmée. III. L’arrêt est rendu sans frais judiciaires. IV. L'arrêt est exécutoire. La présidente : La greffière : Du L'arrêt qui précède, dont la rédaction a été approuvée à huis clos, est notifié à : - Mme H.________, - M. A.________, curateur professionnel auprès de l’Office des curatelles et tutelles professionnelles,</w:t>
      </w:r>
    </w:p>
    <w:p>
      <w:r>
        <w:t>- 10 -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