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QE08.039739 vom 19. September 2023</w:t>
      </w:r>
    </w:p>
    <w:p>
      <w:r>
        <w:t>VD Tribunal cantonal, 2023-09-19, FR</w:t>
      </w:r>
    </w:p>
    <w:p>
      <w:r>
        <w:rPr>
          <w:b/>
        </w:rPr>
        <w:t xml:space="preserve">Quelle: </w:t>
      </w:r>
      <w:r>
        <w:t>https://mcp.opencaselaw.ch/entscheid/vd_gerichte_QE08.039739</w:t>
      </w:r>
    </w:p>
    <w:p>
      <w:r>
        <w:t>FR: VD_GERICHTE QE08.039739 du 19 septembre 2023</w:t>
      </w:r>
    </w:p>
    <w:p>
      <w:r>
        <w:t>IT: VD_GERICHTE QE08.039739 del 19 settembre 2023</w:t>
      </w:r>
    </w:p>
    <w:p>
      <w:pPr>
        <w:pStyle w:val="Heading2"/>
      </w:pPr>
      <w:r>
        <w:t>Erwägungen</w:t>
      </w:r>
    </w:p>
    <w:p>
      <w:r>
        <w:rPr>
          <w:b/>
        </w:rPr>
        <w:t>E. 7</w:t>
      </w:r>
    </w:p>
    <w:p>
      <w:r>
        <w:t>En premier lieu, bien que le recourant P.________ ait obtenu gain de cause, il n’y avait pas lieu de lui allouer de dépens dès lors que la justice de paix n’a pas qualité de partie (Tappy, CR-CPC, op.cit., n. 35 ad</w:t>
      </w:r>
    </w:p>
    <w:p>
      <w:r>
        <w:t>- 4 - art. 107 CPC, ATF 140 III 385 ; JdT 2015 II 128). Ensuite, la règle de l’art. 123 al. 1 CPC s’applique également lorsque la partie au bénéfice de l’assistance judiciaire, qui a eu gain de cause, ne peut obtenir de dépens en raison de l’absence de partie intimée (CCUR 21 août 2013/193 consid. 3b ; Colombini, Code de procédure civile, Condensé de la jurisprudence fédérale et vaudoise, n. 2.3 ad art. 123 CPC et les références citées).</w:t>
      </w:r>
    </w:p>
    <w:p>
      <w:r>
        <w:rPr>
          <w:b/>
        </w:rPr>
        <w:t>E. 8</w:t>
      </w:r>
    </w:p>
    <w:p>
      <w:r>
        <w:t>Il s’ensuit que le chiffre IV de l’arrêt de la Chambre des curatelles du 31 août 2023 (n° 168) n’a pas à être rectifié au sens de l’art. 334 al. 1 CPC, dès lors qu’il correspond à la volonté de l’autorité qui a statué et que ce chiffre ne comporte aucune erreur de rédaction. Partant, la requête en rectification est rejetée.</w:t>
      </w:r>
    </w:p>
    <w:p>
      <w:r>
        <w:rPr>
          <w:b/>
        </w:rPr>
        <w:t>E. 9</w:t>
      </w:r>
    </w:p>
    <w:p>
      <w:r>
        <w:t>Le présent arrêt peut être rendu sans frais (art. 107 al. 2 CPC, par analogie). Par ces motifs, la Chambre des curatelles du Tribunal cantonal, statuant à huis clos, prononce : I. La requête en rectification est rejetée. II. Le présent arrêt, rendu sans frais, est exécutoire. La présidente : Le greffier : Du</w:t>
      </w:r>
    </w:p>
    <w:p>
      <w:r>
        <w:t>- 5 - Le prononcé qui précède, dont la rédaction a été approuvée à huis clos, est notifié à : - Me Nathanaël Pétermann (pour P.________),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