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QC89.000057 vom 15. März 2016</w:t>
      </w:r>
    </w:p>
    <w:p>
      <w:r>
        <w:t>VD Tribunal cantonal, 2016-03-15, FR</w:t>
      </w:r>
    </w:p>
    <w:p>
      <w:r>
        <w:rPr>
          <w:b/>
        </w:rPr>
        <w:t xml:space="preserve">Quelle: </w:t>
      </w:r>
      <w:r>
        <w:t>https://mcp.opencaselaw.ch/entscheid/vd_gerichte_QC89.000057</w:t>
      </w:r>
    </w:p>
    <w:p>
      <w:r>
        <w:t>FR: VD_GERICHTE QC89.000057 du 15 mars 2016</w:t>
      </w:r>
    </w:p>
    <w:p>
      <w:r>
        <w:t>IT: VD_GERICHTE QC89.000057 del 15 marzo 2016</w:t>
      </w:r>
    </w:p>
    <w:p>
      <w:pPr>
        <w:pStyle w:val="Heading2"/>
      </w:pPr>
      <w:r>
        <w:t>Erwägungen</w:t>
      </w:r>
    </w:p>
    <w:p>
      <w:r>
        <w:rPr>
          <w:b/>
        </w:rPr>
        <w:t>E. 6</w:t>
      </w:r>
    </w:p>
    <w:p>
      <w:r>
        <w:t>Quant à la problématique des biens de C.________ situés dans le garde-meuble communal et des mesures requises par le recourant au vu du courrier du Service social du 22 février 2016, elle a fait l’objet d’un courrier du juge délégué du 2 mars 2016 rappelant au recourant que le consentement de la curatrice n’était pas nécessaire pour retirer les biens qui y demeuraient ou pour requérir une prolongation à cette fin et qu’il ne serait pas donné suite à ses réquisitions tendant à la désignation d’une justice de paix ad hoc, respectivement d’un curateur de coopération ad hoc. Il n’est pas nécessaire de revenir sur ce point.</w:t>
      </w:r>
    </w:p>
    <w:p>
      <w:r>
        <w:rPr>
          <w:b/>
        </w:rPr>
        <w:t>E. 7</w:t>
      </w:r>
    </w:p>
    <w:p>
      <w:r>
        <w:t>En conclusion, le recours est admis dans la mesure de sa recevabilité et la décision entreprise annulée, la cause étant renvoyée à la justice de paix pour nouvelle instruction et nouvelle décision dans le sens des considérants. Il appartiendra à l’autorité de protection de rendre le</w:t>
      </w:r>
    </w:p>
    <w:p>
      <w:r>
        <w:t>- 21 - recourant attentif à une obligation de collaborer et aux conséquences en cas de défaut et ce n’est que si ce dernier devait persister à ne pas se soumettre à l’expertise qu’elle pourra statuer en l’état du dossier. L’autorité de protection pourra également interpeller la curatrice sur le nombre de cas où elle a été amenée à refuser ou accorder son autorisation à une procédure envisagée par le recourant dans les cinq dernières années, même si l’inaction de la curatrice ne suffit cas échéant pas à démontrer que la mesure n’est pas nécessaire. Le présent arrêt peut être rendu sans frais judiciaires de deuxième instance (art. 74a al. 4 TFJC [Tarif du 28 septembre 2010 des frais judiciaires civils ; RSV 270.11.5]). Par ces motifs, la Chambre des curatelles du Tribunal cantonal, statuant à huis clos, prononce : I. Le recours est admis dans la mesure de sa recevabilité. II. La décision est annulée. III. La cause est renvoyée à la Justice de paix du district de Lausanne pour instruction et nouvelle décision dans le sens des considérants. IV. L’arrêt est rendu sans frais. La présidente : Le greffier : Du</w:t>
      </w:r>
    </w:p>
    <w:p>
      <w:r>
        <w:t>- 22 - L'arrêt qui précède, dont la rédaction a été approuvée à huis clos, est notifié à : - C.________, - Me Marguerite Florio,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