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QC25.019878 vom 5. Juni 2025</w:t>
      </w:r>
    </w:p>
    <w:p>
      <w:r>
        <w:t>VD Tribunal cantonal, 2025-06-05, FR</w:t>
      </w:r>
    </w:p>
    <w:p>
      <w:r>
        <w:rPr>
          <w:b/>
        </w:rPr>
        <w:t xml:space="preserve">Quelle: </w:t>
      </w:r>
      <w:r>
        <w:t>https://mcp.opencaselaw.ch/entscheid/vd_gerichte_QC25.019878</w:t>
      </w:r>
    </w:p>
    <w:p>
      <w:r>
        <w:t>FR: VD_GERICHTE QC25.019878 du 5 juin 2025</w:t>
      </w:r>
    </w:p>
    <w:p>
      <w:r>
        <w:t>IT: VD_GERICHTE QC25.019878 del 5 giugno 2025</w:t>
      </w:r>
    </w:p>
    <w:p>
      <w:pPr>
        <w:pStyle w:val="Heading2"/>
      </w:pPr>
      <w:r>
        <w:t>Erwägungen</w:t>
      </w:r>
    </w:p>
    <w:p>
      <w:r>
        <w:rPr>
          <w:b/>
        </w:rPr>
        <w:t>E. 1</w:t>
      </w:r>
    </w:p>
    <w:p>
      <w:r>
        <w:t>Par ordonnance de mesures provisionnelles du 1er avril 2025, adressée pour notification le 29 avril 2025 et notifiée le lendemain à L.________, le Juge de paix du district de Lausanne (ci-après : le juge de paix) a poursuivi l’enquête en institution d'une curatelle et en placement à des fins d’assistance en faveur de L.________, née le [...] 1984 (I), maintenu la curatelle provisoire de représentation et de gestion au sens des art. 394 al. 1 et 395 al. 1 CC (Code civil suisse du 10 décembre 1907 ; RS 210) instituée en faveur de la prénommée (II), maintenu G.________, assistant social auprès du Service des curatelles et tutelles professionnelles (SCTP), en qualité de curateur provisoire et dit qu'en cas d'absence de ce dernier, ledit service assurerait son remplacement en attendant son retour ou la désignation d'un nouveau curateur (III), dit que le curateur aurait pour tâches, dans le cadre de la curatelle de représentation, de représenter L.________ dans les rapports avec les tiers, en particulier en matière de logement, santé, affaires sociales, administration et affaires juridiques, et de sauvegarder au mieux ses intérêts et, dans le cadre de la curatelle de gestion, de veiller à la gestion des revenus et de la fortune de L.________, d’administrer ses biens avec diligence, de la représenter dans ce cadre, notamment à l’égard des établissements financiers, d’accomplir les actes juridiques liés à la gestion et de la représenter, si nécessaire, pour ses besoins ordinaires, en veillant, dans la mesure du possible, à lui permettre de retrouver progressivement de l’autonomie dans la gestion de ses affaires financières et administratives (IV), rappelé que le curateur était invité à soumettre des comptes tous les deux ans à l'approbation de l'autorité de céans, avec un rapport sur son activité et sur l'évolution de la situation de l’intéressée (V), autorisé le curateur à prendre connaissance de la correspondance de L.________ afin qu'il puisse obtenir des informations sur sa situation financière et administrative et s'enquérir de ses conditions de vie et, au besoin, à pénétrer dans son logement s'il était sans nouvelles d’elle depuis un certain temps (VI), dit que les frais de la procédure provisionnelle suivaient le sort de la cause (VII) et déclaré l’ordonnance immédiatement exécutoire, nonobstant recours (VIII).</w:t>
      </w:r>
    </w:p>
    <w:p>
      <w:r>
        <w:t>- 3 -</w:t>
      </w:r>
    </w:p>
    <w:p>
      <w:r>
        <w:rPr>
          <w:b/>
        </w:rPr>
        <w:t>E. 2</w:t>
      </w:r>
    </w:p>
    <w:p>
      <w:r>
        <w:t>Par acte non daté et remis à la Poste suisse le 13 mai 2025, L.________ (ci-après : la recourante) a recouru contre cette ordonnance, contestant l’institution d’une curatelle en sa faveur.</w:t>
      </w:r>
    </w:p>
    <w:p>
      <w:r>
        <w:rPr>
          <w:b/>
        </w:rPr>
        <w:t>E. 2.3</w:t>
      </w:r>
    </w:p>
    <w:p>
      <w:r>
        <w:t>; TF 5A_844/2017 du 15 mai 2018 consid. 9.2 ; CCUR 25 juillet 2022/127 et les références citées).</w:t>
      </w:r>
    </w:p>
    <w:p>
      <w:r>
        <w:t>- 4 -</w:t>
      </w:r>
    </w:p>
    <w:p>
      <w:r>
        <w:rPr>
          <w:b/>
        </w:rPr>
        <w:t>E. 3.1</w:t>
      </w:r>
    </w:p>
    <w:p>
      <w:r>
        <w:t>Le recours est dirigé contre une ordonnance de mesures provisionnelles du juge de paix maintenant une curatelle provisoire de représentation et de gestion au sens des art. 394 al. 1 et 395 al. 1 CC instituée en faveur de la recourante.</w:t>
      </w:r>
    </w:p>
    <w:p>
      <w:r>
        <w:rPr>
          <w:b/>
        </w:rPr>
        <w:t>E. 3.2.1</w:t>
      </w:r>
    </w:p>
    <w:p>
      <w:r>
        <w:t>Contre une telle décision, le recours au sens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445 al. 3 CC ; Droese, Basler Kommentar, Zivilgesetzbuch I, Art. 1-456 ZGB, 7e éd., Bâle 2022, n. 21 ad art. 450 CC, p. 2932 ; cf. notamment CCUR 29 février 2024/38).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et 20 al. 1 LVPAE et 450f CC ; ATF 140 III 167 consid.</w:t>
      </w:r>
    </w:p>
    <w:p>
      <w:r>
        <w:rPr>
          <w:b/>
        </w:rPr>
        <w:t>E. 3.2.2</w:t>
      </w:r>
    </w:p>
    <w:p>
      <w:r>
        <w:t>L’art. 138 al. 2 CPC prévoit que l’acte est réputé notifié lorsqu’il a été remis au destinataire, à un de ses employés ou à une personne de seize ans au moins vivant dans le même ménage. En vertu de l’art. 142 CPC, les délais déclenchés par la communication ou la survenance d’un événement courent dès le lendemain de celles-ci (al. 1 ) ; si le dernier jour du délai échoit un samedi, un dimanche ou un jour férié reconnu par le droit fédéral ou le droit cantonal du siège du tribunal, le délai expire le premier jour ouvrable qui suit (al. 3).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 Le vice tiré de la tardiveté de l’acte est irréparable et entraîne l’irrecevabilité de celui-ci (ATF 125 V 65 consid. 1 ; TF 5A_403/2017 du 11 septembre 2017 consid. 6.3.1 ; Colombini, Code de procédure civile, Condensé de la jurisprudence fédérale et vaudoise, Lausanne 2018, n. 4.5.1 ad art. 311 CPC, p. 956).</w:t>
      </w:r>
    </w:p>
    <w:p>
      <w:r>
        <w:rPr>
          <w:b/>
        </w:rPr>
        <w:t>E. 3.3</w:t>
      </w:r>
    </w:p>
    <w:p>
      <w:r>
        <w:t>En l’espèce, l’ordonnance attaquée a été adressée à la recourante sous pli recommandé le 29 avril 2025. Selon le « Suivi des envois » de la Poste suisse, ce pli lui a été distribué le 30 avril 2025. Le délai de recours de dix jours a ainsi commencé à courir le lendemain de cette communication, soit le jeudi 1er mai 2025, et est arrivé à échéance le samedi 10 mai 2025, délai reporté de plein droit au lundi 12 mai 2025. Le recours, non daté et remis à la Poste suisse le 13 mai 2025, est par conséquent tardif. Le vice tiré de la tardiveté étant irréparable, il entraîne l’irrecevabilité de l’acte.</w:t>
      </w:r>
    </w:p>
    <w:p>
      <w:r>
        <w:t>- 5 -</w:t>
      </w:r>
    </w:p>
    <w:p>
      <w:r>
        <w:rPr>
          <w:b/>
        </w:rPr>
        <w:t>E. 4</w:t>
      </w:r>
    </w:p>
    <w:p>
      <w:r>
        <w:t>En conclusion, le recours est irrecevable.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Mme L.________, - Service des curatelles et tutelles professionnelles, à l’att. de M. G.________,</w:t>
      </w:r>
    </w:p>
    <w:p>
      <w:r>
        <w:t>- 6 -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