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QC14.035810 vom 11. September 2015</w:t>
      </w:r>
    </w:p>
    <w:p>
      <w:r>
        <w:t>VD Tribunal cantonal, 2015-09-11, FR</w:t>
      </w:r>
    </w:p>
    <w:p>
      <w:r>
        <w:rPr>
          <w:b/>
        </w:rPr>
        <w:t xml:space="preserve">Quelle: </w:t>
      </w:r>
      <w:r>
        <w:t>https://mcp.opencaselaw.ch/entscheid/vd_gerichte_QC14.035810</w:t>
      </w:r>
    </w:p>
    <w:p>
      <w:r>
        <w:t>FR: VD_GERICHTE QC14.035810 du 11 septembre 2015</w:t>
      </w:r>
    </w:p>
    <w:p>
      <w:r>
        <w:t>IT: VD_GERICHTE QC14.035810 del 11 settembre 2015</w:t>
      </w:r>
    </w:p>
    <w:p>
      <w:pPr>
        <w:pStyle w:val="Heading2"/>
      </w:pPr>
      <w:r>
        <w:t>Erwägungen</w:t>
      </w:r>
    </w:p>
    <w:p>
      <w:r>
        <w:rPr>
          <w:b/>
        </w:rPr>
        <w:t>E. 27</w:t>
      </w:r>
    </w:p>
    <w:p>
      <w:r>
        <w:t>al. 2 let. a et b LDIP paraissent prima facie réalisés.</w:t>
      </w:r>
    </w:p>
    <w:p>
      <w:r>
        <w:t>- 16 - e) On relèvera par surabondance que la compétence des autorités de protection suisses peut également se fonder sur l’art. 10 CLaH 2000. Selon cette disposition, dans les cas d’urgence, les autorités de chaque Etat contractant sur le territoire duquel se trouvent l’adulte ou des biens lui appartenant sont compétentes pour prendre les mesures de protection nécessaires. Une telle situation survient lorsque la compétence des autorités de l’Etat de la résidence habituelle de l’adulte, de sa nationalité ou de tout autre for délégué en vertu de l’art. 8 CLaH 2000 serait susceptible d’entraîner un préjudice irréparable à l’adulte (Guillaume/Durel, op. cit., n. 91, p. 370). En l’espèce, il ressort des déclarations du docteur Z.________, médecin chef à la Clinique [...], que, si l’intéressé pourrait être transféré au Liban sur un plan strictement médical, il a besoin d’une aide permanente pour les actes simples de la vie quotidienne. La protection de ce dernier nécessite qu’un curateur lui soit désigné en Suisse afin de sauvegarder ses intérêts et, notamment, décider en toute connaissance de cause d’un éventuel rapatriement au Liban, le tuteur libanais ne s’étant manifestement jamais enquis de la situation de son pupille et ayant toujours pris ses décisions sur la base de la seule information unilatérale donnée par le recourant A.Y.________. f) La compétence des autorités de protection suisses étant établie, le recours d’A.Y.________ doit être rejeté. 3. La curatrice requiert que le mandat de protection soit étendu à tout le moins à la gestion du patrimoine au sens de l’art. 395 al. 1 CC, une curatelle de portée générale étant même plus adéquate, selon elle, au vu de la situation de la personne concernée. a) L'art. 398 CC prévoit que la curatelle de portée générale est instituée lorsqu'une personne a particulièrement besoin d'aide, en raison</w:t>
      </w:r>
    </w:p>
    <w:p>
      <w:r>
        <w:t>- 17 -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Introduction au nouveau droit de protection de l'adulte, 2011, n. 512, pp. 231 et 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 et 509, p. 230; Henkel, Basler Kommentar, op. cit., n. 10 ad art. 398 CC), soit lorsque des mesures plus ciblées sont insuffisantes (Guide pratique COPMA, op. cit.,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10, p. 230). L'incapacité durable de discernement n'est mentionnée qu'à titre d'exemple et ne saurait être comprise comme une condition stricte d'institution d'une mesure de curatelle de portée générale (Guide pratique COPMA, op. cit.,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w:t>
      </w:r>
    </w:p>
    <w:p>
      <w:r>
        <w:t>- 18 - l'exploitation de tiers, sans que l'on dispose d'éléments qui permettent de se contenter de limitations ponctuelles (Guide pratique COPMA, op. cit., n. 5.52, p. 155; Henkel, Basler Kommentar, op. cit., n. 12 ad art. 398 CC; sur le tout : JT 2013 III 44). b)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L’expression «troubles psychiques», qui doit être comprise dans son acception large (Meier/Lukic, op. cit., n. 401, p. 191), vise toutes les pathologies mentales reconnues en psychiatrie, soit les psychoses et les psychopathies ayant des causes physiques ou non, ainsi que les démences. La notion vise également les dépendances, en particulier la toxicomanie, l’alcoolisme ou la pharmacodépendance (Guide pratique COPMA, n. 5.9, p. 137; Meier/Lukic, op. cit., nn. 400 et 401, p. 191). Quant à l'état de faiblesse, il s'agit d'une formulation large, qui permet d'englober les handicaps physiques, les déficiences liées à l'âge et les cas</w:t>
      </w:r>
    </w:p>
    <w:p>
      <w:r>
        <w:t>- 19 - extrêmes d'inexpérience ou de mauvaise gestion (Meier/Lukic, op. cit., n. 404, p. 192). La notion de faiblesse doit plutôt se fonder sur l'origine même de la faiblesse de l'intéressé que résulter des circonstances extérieures (Meier, CommFam, n. 16 ad art. 390 CC).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op. cit., n. 5.10, p. 138). c) En l’espèce, il ressort du dossier que la situation de D.Y.________, qui souffre de troubles mnesiques importants ainsi que de troubles de la vigilance et d’une déficience mentale, est complexe. En effet, en mai 2009, il a passé une convention avec ses fils, qui prévoit notamment que le recourant A.Y.________ s’engage exclusivement et à titre irrévocable à subvenir ad aeternam à tous les besoins personnels et financiers de son père. Or, cet engagement n’est plus respecté depuis plusieurs mois, de sorte qu’il en résulte un découvert de 150’000 fr. de frais d’EMS. En outre, la personne concernée, qui est incapable de discernement et ne peut en aucun cas apprécier la portée de ses actes ou s’occuper de ses intérêts, se trouve prise en otage entre ses deux fils, qui ne s’entendent pas. Il s’agit également de gérer la rente de D.Y.________, voire d’obtenir des décisions de prestations complémentaires et de gérer les éventuels avoirs qui pourraient être retrouvés. Au regard des éléments précités, tant la cause que la condition d'une curatelle de portée générale sont réalisées. L’affection diagnostiquée constitue à l'évidence des troubles psychiques et le besoin particulier d'aide de D.Y.________ est avéré. Un mandat de curatelle de portée générale apparaît donc nécessaire pour sauvegarder les intérêts de ce dernier. Le curateur pourra ainsi examiner quel est le lieu de vie le plus</w:t>
      </w:r>
    </w:p>
    <w:p>
      <w:r>
        <w:t>- 20 - approprié compte tenu de l’état de santé de D.Y.________, notamment trouver un lieu de vie moins onéreux pouvant être pris en charge par le SASH, voire envisager un rapatriement au Liban. Conformément à la maxime d'office applicable en l’espèce, il convient de réformer d'office les chiffres III et V de l'ordonnance entreprise, en ce sens qu’une curatelle provisoire de portée générale au sens de l’art. 398 CC est instituée en faveur de D.Y.________. 4. En conclusion, le recours de N.________ doit être déclaré irrecevable, celui d’A.Y.________ rejeté et la décision entreprise réformée aux chiffres III et V de son dispositif dans le sens du considérant qui précède. Elle est confirmée pour le surplus. Les frais judiciaires de deuxième instance, arrêtés à 200 fr. (art. 74a al. 1 TFJC, Tarif du 28 septembre 2010 des frais judiciaires civils, RSV 270.11.51), doivent être mis à la charge du recourant A.Y.________, qui succombe (art. 106 al. 1 CPC, applicable par renvoi de l’art. 450f CC). Obtenant gain de cause, l'intimé, qui a procédé par l’intermédiaire d’un mandataire professionnel, a droit à des dépens de deuxième instance, qu'il convient d'arrêter à 2'500 fr. et de mettre à la charge du recourant A.Y.________ (art. 95, 96 et 106 al. 1 CPC).</w:t>
      </w:r>
    </w:p>
    <w:p>
      <w:r>
        <w:t>- 21 - Par ces motifs, la Chambre des curatelles du Tribunal cantonal, statuant à huis clos, prononce : I. Le recours de N.________ est irrecevable. II. Le recours d’A.Y.________ est rejeté. III. La décision est réformée aux chiffres III et V de son dispositif comme il suit : III. institue une curatelle provisoire de portée générale au sens de l’art. 398 CC en faveur de D.Y.________, résidant à la Clinique [...]. V. supprimé. La décision est confirmée pour le surplus. IV. Les frais judiciaires de deuxième instance, arrêtés à 200 fr. (deux cents francs), sont mis à la charge du recourant A.Y.________. V.Le recourant A.Y.________ doit verser à l’intimé E.Y.________ la somme de 2'500 fr. (deux mille cinq cents francs) à titre de dépens de deuxième instance. VI. L’arrêt motivé est exécutoire. Le vice-président : La greffière :</w:t>
      </w:r>
    </w:p>
    <w:p>
      <w:r>
        <w:t>- 22 - Du L'arrêt qui précède, dont la rédaction a été approuvée à huis clos, est notifié à : - A.Y.________, - Me Jean-Yves Schmidhauser, avocat (pour E.Y.________), - N.________, par voie d’entraide judiciaire, - C.________, Office des curatelles et tutelles professionnelles, - Me Christophe Misteli, avocat, et communiqué à : -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