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QC13.037026 vom 1. Oktober 2018</w:t>
      </w:r>
    </w:p>
    <w:p>
      <w:r>
        <w:t>VD Tribunal cantonal, 2018-10-01, FR</w:t>
      </w:r>
    </w:p>
    <w:p>
      <w:r>
        <w:rPr>
          <w:b/>
        </w:rPr>
        <w:t xml:space="preserve">Quelle: </w:t>
      </w:r>
      <w:r>
        <w:t>https://mcp.opencaselaw.ch/entscheid/vd_gerichte_QC13.037026</w:t>
      </w:r>
    </w:p>
    <w:p>
      <w:r>
        <w:t>FR: VD_GERICHTE QC13.037026 du 1 octobre 2018</w:t>
      </w:r>
    </w:p>
    <w:p>
      <w:r>
        <w:t>IT: VD_GERICHTE QC13.037026 del 1 ottobre 2018</w:t>
      </w:r>
    </w:p>
    <w:p>
      <w:pPr>
        <w:pStyle w:val="Heading2"/>
      </w:pPr>
      <w:r>
        <w:t>Erwägungen</w:t>
      </w:r>
    </w:p>
    <w:p>
      <w:r>
        <w:rPr>
          <w:b/>
        </w:rPr>
        <w:t>E. 1</w:t>
      </w:r>
    </w:p>
    <w:p>
      <w:r>
        <w:t>Le recours est dirigé contre une décision de la justice de paix rejetant une requête en levée d’une curatelle de représentation et de</w:t>
      </w:r>
    </w:p>
    <w:p>
      <w:r>
        <w:t>- 7 - gestion à forme des art. 394 al. 1 et 395 al. 1 CC et mettant les frais de la procédure à la charge de la personne concernée.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w:t>
      </w:r>
    </w:p>
    <w:p>
      <w:r>
        <w:t>- 8 -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personne concernée, le recours est recevable tant en ce qui concerne la contestation des frais, selon courrier du 11 juillet 2018, qu’en ce qui concerne la mesure, selon lettre du 18 juillet 2018.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- 9 -</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La justice de paix a procédé à l'audition de I.________ lors de son audience du 12 avril 2018, de sorte que son droit d’être entendu a été respecté. La décision entreprise est donc formellement correcte et peut être examinée sur le fond.</w:t>
      </w:r>
    </w:p>
    <w:p>
      <w:r>
        <w:rPr>
          <w:b/>
        </w:rPr>
        <w:t>E. 3</w:t>
      </w:r>
    </w:p>
    <w:p>
      <w:r>
        <w:t>Le recourant requiert un allègement de la mesure le concernant, soit l’instauration d’une curatelle d’accompagnement.</w:t>
      </w:r>
    </w:p>
    <w:p>
      <w:r>
        <w:rPr>
          <w:b/>
        </w:rPr>
        <w:t>E. 3.1.1</w:t>
      </w:r>
    </w:p>
    <w:p>
      <w:r>
        <w:t>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w:t>
      </w:r>
    </w:p>
    <w:p>
      <w:r>
        <w:t>- 10 -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op. cit., n. 722, p. 367 ; Guide pratique COPMA 2012,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2012, n. 5.10, p. 138).</w:t>
      </w:r>
    </w:p>
    <w:p>
      <w:r>
        <w:rPr>
          <w:b/>
        </w:rPr>
        <w:t>E. 3.1.2</w:t>
      </w:r>
    </w:p>
    <w:p>
      <w:r>
        <w:t>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w:t>
      </w:r>
    </w:p>
    <w:p>
      <w:r>
        <w:t>- 11 - 2013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nn. 5.23 et 5.25, p. 143 ; Meier, CommFam, nn. 17, 18 et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 Droit de la protection de l’adulte, op. cit., nn. 813 et 833, pp. 403 et 410).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w:t>
      </w:r>
    </w:p>
    <w:p>
      <w:r>
        <w:t>- 12 - l’adulte, op. cit., n. 835 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w:t>
      </w:r>
    </w:p>
    <w:p>
      <w:r>
        <w:t>- 13 - aux besoins de la personne concernée (art. 389 CC) (TF 5A_667/2013 du 12 novembre 2013 consid. 6.1 et 6.2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r>
        <w:rPr>
          <w:b/>
        </w:rPr>
        <w:t>E. 3.2</w:t>
      </w:r>
    </w:p>
    <w:p>
      <w:r>
        <w:t>Il ressort du dossier que le recourant est au bénéfice d’une curatelle de représentation et de gestion à forme des art. 394 al. 1 et 395 al. 1 CC depuis le 15 août 2013, que le 25 avril 2017, il a requis la mainlevée de dite curatelle et que l’autorité de protection a alors ouvert une enquête en levée de la curatelle et ordonné une expertise psychiatrique le concernant. Le 4 mars 2018, la doctoresse B.________ et la psychologue T.________ ont déposé leur rapport. Elles indiquent que I.________ présente une suspicion de trouble envahissant du développement sans précision, des troubles cognitifs légers (troubles de la mémoire verbale et visuelle à long terme) et une utilisation d’alcool nocive pour la santé, avec une consommation parfois quotidienne à visée anxiolytique. Elles expliquent que les troubles envahissant du développement se caractérisent par des altérations qualitatives des interactions sociales réciproques et des modalités de communication, ainsi que par un répertoire d’intérêts et d’activités restreint, stéréotypé et répétitif. Elles relèvent que ces anomalies qualitatives influencent l’ensemble du fonctionnement de l’intéressé, quelles que soient les situations. Elles ajoutent que les troubles cognitifs présentés par ce dernier aggravent ses facultés adaptatives déjà fragiles. Elles constatent</w:t>
      </w:r>
    </w:p>
    <w:p>
      <w:r>
        <w:t>- 14 - que d’une manière générale, le recourant présente des difficultés à comprendre le monde qui l’entoure, mais également à se faire comprendre d’autrui, et qu’il est particulièrement susceptible de se faire manipuler. Les expertes mentionnent également que la situation de l’expertisé semble s’être aggravée au fil du temps depuis l’instauration de la mesure, faisant état, en particulier, d’une augmentation de la symptomatologie anxieuse, de conflits interpersonnels, d’une consommation d’alcool avec une atteinte cérébrale visible à l’imagerie, ainsi que de troubles cognitifs légers. Elles estiment que I.________ a besoin de l’aide d’un tiers dans la gestion de ses affaires administratives et financières dès lors qu’il présente des difficultés de compréhension quant au monde qui l’entoure, qui peuvent l’amener à prendre de mauvaises décisions et augmenter également le risque d’être victime d’abus de tiers. Elles considèrent qu’il est nécessaire que le recourant continue de bénéficier d’une curatelle de représentation et de gestion. Il résulte de ce qui précède que la situation de I.________ ne s’est pas améliorée, au contraire, et qu’il a donc toujours besoin d’un soutien pour la gestion de ses affaires administratives et financières. Compte tenu de l’étendue des besoins de protection de l’intéressé, une curatelle d’accompagnement n’est pas suffisante pour sauvegarder ses intérêts. Les expertes ont du reste relevé que le recourant n’a qu’une conscience partielle de ses difficultés, tant sociales que cognitives, et qu’il est particulièrement susceptible de se faire manipuler. La curatelle de représentation et de gestion instituée en sa faveur doit par conséquent être maintenue.</w:t>
      </w:r>
    </w:p>
    <w:p>
      <w:r>
        <w:rPr>
          <w:b/>
        </w:rPr>
        <w:t>E. 4</w:t>
      </w:r>
    </w:p>
    <w:p>
      <w:r>
        <w:t>Le recourant conteste la mise à sa charge des frais d’expertise. Il estime qu’il n’a pas à les supporter dès lors qu’il a déjà dû se soumettre à une expertise il y a cinq ans et qu’il n’a pas été informé que ces frais seraient mis à sa charge, ce qu’il aurait refusé. Il déclare que sa fortune est prévue pour sa retraite et qu’il bénéficie d’une modeste rente AI à 50%, sans revenu supplémentaire.</w:t>
      </w:r>
    </w:p>
    <w:p>
      <w:r>
        <w:t>- 15 -</w:t>
      </w:r>
    </w:p>
    <w:p>
      <w:r>
        <w:rPr>
          <w:b/>
        </w:rPr>
        <w:t>E. 4.1</w:t>
      </w:r>
    </w:p>
    <w:p>
      <w:r>
        <w:t>Selon l’art. 12 LVPAE, les dispositions générales (art. 1 à 196) et, par analogie, celles relatives à la procédure sommaire (art. 248 à 270) du CPC sont applicables à titre complémentaire à la présente loi en matière de procédure d’intervention des autorités de protection de l’adulte et de l’enfant. Les frais d’expertise sont des frais d’administration des preuves qui entrent dans les frais judiciaires (art. 95 al. 2 let. c CPC ; art. 2 al. 1 et 91 TFJC [Tarif du 28 septembre 2010 des frais judiciaires civils ; RSV 270.11.5]). L’art. 112 al. 1 CPC prévoit que le tribunal peut accorder un sursis ou, lorsque la partie est durablement dépourvue de moyens, renoncer aux créances en frais judiciaires. Lorsque la personne concernée est indigente, il est statué sans frais judiciaires. Est réputée indigente toute personne dont la fortune nette est inférieure à 5'000 fr. (art. 4 al. 2 in fine RCur [Règlement du 7 novembre 2017 sur la rémunération des curateurs ; RSV 211.255.2]).</w:t>
      </w:r>
    </w:p>
    <w:p>
      <w:r>
        <w:rPr>
          <w:b/>
        </w:rPr>
        <w:t>E. 4.2</w:t>
      </w:r>
    </w:p>
    <w:p>
      <w:r>
        <w:t>En l’espèce, par courrier du 25 avril 2017, le recourant a requis la levée de la curatelle instituée en sa faveur. Par lettre du 12 septembre 2017, le juge de paix l’a alors informé de l’ouverture d’une enquête et de la mise en œuvre d’une expertise. Or, celle-ci n’a jamais été contestée. De plus, elle était bel et bien nécessaire au regard de la demande de levée de la mesure par la personne concernée et des avis divergents figurant au dossier. Par ailleurs, il résulte du « compte de la personne sous curatelle » pour la période du 1er janvier au 31 décembre 2017 approuvé par le juge de paix le 7 mars 2018 que le patrimoine net de I.________ s'élevait à 168'895 fr. 16 au 31 décembre 2017. Le recourant ne saurait dès lors être considéré comme indigent. Partant, les frais d’expertise, lesquels constituent des frais d’administration des preuves, peuvent être mis à sa charge.</w:t>
      </w:r>
    </w:p>
    <w:p>
      <w:r>
        <w:rPr>
          <w:b/>
        </w:rPr>
        <w:t>E. 5</w:t>
      </w:r>
    </w:p>
    <w:p>
      <w:r>
        <w:t>En conclusion, le recours de I.________ doit être rejeté et la décision entreprise confirmée.</w:t>
      </w:r>
    </w:p>
    <w:p>
      <w:r>
        <w:t>- 16 - Les frais judiciaires de deuxième instance, arrêtés à 300 fr. (art. 74a al. 1 TFJC),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I.________. IV. L'arrêt est exécutoire. Le président : La greffière : Du L'arrêt qui précède, dont la rédaction a été approuvée à huis clos, est notifié à : - M. I.________, - Mme P.________, assistante sociale auprès de l’Office des curatelles et tutelles professionnelles, - M. N.________,</w:t>
      </w:r>
    </w:p>
    <w:p>
      <w:r>
        <w:t>- 17 - et communiqué à : - Justice de paix du district du Jura-Nord vaudois, - M. [...], assesseur-surveillant,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