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QB17.015528 vom 27. April 2020</w:t>
      </w:r>
    </w:p>
    <w:p>
      <w:r>
        <w:t>VD Tribunal cantonal, 2020-04-27, FR</w:t>
      </w:r>
    </w:p>
    <w:p>
      <w:r>
        <w:rPr>
          <w:b/>
        </w:rPr>
        <w:t xml:space="preserve">Quelle: </w:t>
      </w:r>
      <w:r>
        <w:t>https://mcp.opencaselaw.ch/entscheid/vd_gerichte_QB17.015528</w:t>
      </w:r>
    </w:p>
    <w:p>
      <w:r>
        <w:t>FR: VD_GERICHTE QB17.015528 du 27 avril 2020</w:t>
      </w:r>
    </w:p>
    <w:p>
      <w:r>
        <w:t>IT: VD_GERICHTE QB17.015528 del 27 aprile 2020</w:t>
      </w:r>
    </w:p>
    <w:p>
      <w:pPr>
        <w:pStyle w:val="Heading2"/>
      </w:pPr>
      <w:r>
        <w:t>Erwägungen</w:t>
      </w:r>
    </w:p>
    <w:p>
      <w:r>
        <w:rPr>
          <w:b/>
        </w:rPr>
        <w:t>E. 3</w:t>
      </w:r>
    </w:p>
    <w:p>
      <w:r>
        <w:t>Le recourant reproche aux premiers juges d’avoir calculé son indemnité en appliquant un tarif horaire de 180 fr. en lieu et place du tarif horaire usuel de 350 fr., qu’il a limité à 320 francs. Il soutient que A.U.________ ne remplit pas la condition de l’indigence lui permettant de bénéficier du tarif de l’assistance judiciaire dès lors que sa fortune est supérieure à 65’000 francs.</w:t>
      </w:r>
    </w:p>
    <w:p>
      <w:r>
        <w:rPr>
          <w:b/>
        </w:rPr>
        <w:t>E. 3.1</w:t>
      </w:r>
    </w:p>
    <w:p>
      <w:r>
        <w:t>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En vertu de l’art. 48 al. 2 LVPAE, le Tribunal cantonal fixe, par voie réglementaire, le tarif de rémunération du curateur. L’art. 3 al. 3 RCur (Règlement sur la rémunération des curateurs du 18 décembre 2012 ; BLV 211.255.2) prévoit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AI et accidents ou d'autres caisses de</w:t>
      </w:r>
    </w:p>
    <w:p>
      <w:r>
        <w:t>- 8 - même genre ainsi que des prestations d'aide sociale ou rentes complémentaires AVS/AI. Selon l'art. 3 al. 4 RCur, le curateur appelé à fournir des services propres à son activité professionnelle a droit, en principe, à une rémunération fixée sur la base du tarif en usage dans sa profession. L’indemnité qui lui est ainsi allouée est soumise à la TVA. Lorsque le curateur effectue également des opérations sans lien avec son activité professionnelle, celles-ci justifient une indemnité distincte fixée par application analogique de l’alinéa 3. Selon la jurisprudence, la rémunération d'un curateur avocat correspond au tarif horaire de 350 francs. Lorsque la personne concernée ne dispose que de moyens financiers restreints, cette rémunération est limitée à un tarif horaire de 180 fr. qui est celle d'un avocat d'office, respectivement de 110 fr. lorsque les opérations sont effectuées par un avocat-stagiaire (ATF 116 II 399 consid. 4b ; CCUR 9 mai 2019/85 consid. 4.1 ; CCUR 20 décembre 2018/239 consid. 2.2 ; art. 2 al. 1 let. a et b RAJ [Règlement du 7 décembre 2010 sur l'assistance judiciaire en matière civile ; BLV 211.02.03]). Pour fixer la quotité de l'indemnité du curateur, on peut s'inspirer, en ce qui concerne les opérations qu'il y a lieu de prendre en compte, des principes applicables en matière d'indemnité d'office (CCUR 9 mai 2019/85 consid. 4.1 ; CCUR 15 août 2016/173).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w:t>
      </w:r>
    </w:p>
    <w:p>
      <w:r>
        <w:t>- 9 -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 l'importance du travail qu'exige l'affaire (CCUR 23 avril 2018/77 consid. 6 ; CREC 16 mai 2012/178 ; CREC 2 octobre 2012/344).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sont à la charge de la personne concernée (art. 4 al. 1 RCur). Lorsque celle-ci est indigente, le curateur a droit au paiement par l’Etat, outre les débours, d’une indemnité n’excédant pas le montant de 1'400 fr. par an, sous réserve des cas extraordinaires et de ceux visés par l’art. 3 al. 4 RCur, et il est statué sans frais judiciaires. Est réputée indigente toute personne concernée dont la fortune nette est inférieure à 5’000 francs (art. 4 al. 2 RCur).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w:t>
      </w:r>
    </w:p>
    <w:p>
      <w:r>
        <w:t>- 10 - (TF 5A_319/2008 du 23 juin 2008 consid. 4.1 et les références citées ; CCUR 21 mars 2018/58 consid. 2.1.2 ; CTUT 21 juillet 2010/138).</w:t>
      </w:r>
    </w:p>
    <w:p>
      <w:r>
        <w:rPr>
          <w:b/>
        </w:rPr>
        <w:t>E. 3.2</w:t>
      </w:r>
    </w:p>
    <w:p>
      <w:r>
        <w:t>En l’espèce, le recourant a été nommé substitut du curateur par décision du 3 mars 2017 ensuite d’un courrier du curateur de A.U.________ du 17 février 2017 informant la justice de paix que les parents de ce dernier étaient décédés en [...] et qu’il ne disposait pas des compétences requises pour régler leurs successions, les démarches nécessitant de parler couramment l’[...] et de connaître le droit de ce pays. Me D.________ a ainsi rempli une mission ressortant typiquement de ses compétences professionnelles, de sorte que, sur le principe, il devait être rémunéré au tarif de sa profession. Le mandat était relativement complexe dès lors qu’il a porté sur le partage d’une succession ouverte en [...], comportant notamment un immeuble et ayant nécessité le recours à un notaire [...]. Il a abouti à une convention de partage, ainsi qu’à la délivrance d’une somme de 65'602 fr. 05 en faveur de la personne concernée. Les premiers juges n’ont pas remis en question les opérations effectuées par le recourant, ni le nombre d’heures de travail invoqué, mais ont appliqué, sans autre explication que la référence au tarif « d’usage dans le canton de Vaud» ressortant de l’art. 2 al. 1 RAJ, le tarif horaire en matière d’assistance judiciaire, soit 180 fr. de l’heure pour un avocat. Il convient d’examiner la question de la situation financière de la personne concernée. Il ressort du dossier que A.U.________ est domicilié auprès de l’Armée du Salut. On peut donc partir du principe qu’il était indigent avant de recevoir sa part de succession ayant donné lieu à l’exercice du mandat dont la rémunération est litigieuse. La part successorale représente toutefois incontestablement de la fortune. Or, la part d’héritage de A.U.________ est supérieure à 5'000 francs. En outre, le dossier ne contient aucune mention d’éventuelles dettes de ce dernier. Il ne peut dès lors être considéré comme indigent. Partant, il y a lieu d’accorder à Me D.________ une indemnité calculée au tarif horaire de 320</w:t>
      </w:r>
    </w:p>
    <w:p>
      <w:r>
        <w:t>- 11 - fr. et de lui allouer ainsi le montant total réclamé de 13'758 fr., soit 4'047 fr. 15, TVA à 8% comprise, pour la période allant jusqu’au 31 décembre 2017 (3'253 fr. 30 d’honoraires, 162 fr. 65 de débours, 331 fr. 40 de frais avancés et 299 fr. 80 de TVA) et 9'710 fr. 85, TVA à 7,7% comprise, pour la période depuis le 1er janvier 2018 (7'274 fr. 60 d’honoraires, 363 fr. 75 de débours, 1'378 fr. 25 de frais avancés et 694 fr. 25 de TVA).</w:t>
      </w:r>
    </w:p>
    <w:p>
      <w:r>
        <w:rPr>
          <w:b/>
        </w:rPr>
        <w:t>E. 4</w:t>
      </w:r>
    </w:p>
    <w:p>
      <w:r>
        <w:t>En conclusion, le recours de Me D.________ doit être admis et la décision entreprise réformée au chiffre II de son dispositif dans le sens du considérant qui précède. Elle est confirmée pour le surplus. Les frais judiciaires de deuxième instance sont laissés à la charge de l’Etat (art. 74a al. 4 TFJC [Tarif du 28 septembre 2018 des frais judiciaires civils ; BLV 270.11.5]). L’avance de frais de 400 fr. effectuée par le recourant doit ainsi lui être restituée. Quand bien même le recourant obtient gain de cause, il n’y a pas lieu de lui allouer de dépens de deuxième instance. En effet, il n’a fait que défendre ses propres intérêts et la justice de paix n’a pas qualité de partie, mais d’autorité de première instance, de sorte qu’elle ne saurait être condamnée à des dépens (Tappy, CR-CPC, n. 35 ad art. 107 CPC, p. 495). Par ces motifs, la Chambre des curatelles du Tribunal cantonal, statuant à huis clos, prononce : I. Le recours est admis. II. La décision est réformée comme il suit au chiffre II de son dispositif :</w:t>
      </w:r>
    </w:p>
    <w:p>
      <w:r>
        <w:t>- 12 - II. alloue à Me D.________ une indemnité de 13'758 fr. (treize mille sept cent cinquante-huit francs), débours et TVA compris, à la charge de A.U.________, pour l’exercice de son mandat de substitut du curateur, montant qu’il voudra bien prélever sur les biens de l’intéressé, une fois la présente décision définitive et exécutoire. Elle est confirmée pour le surplus. III. Les frais judiciaires de deuxième instance sont laissés à la charge de l’Etat, l’avance de frais versée par le recourant Me D.________, par 400 fr. (quatre cents francs) lui étant restituée. IV. Il n’est pas alloué de dépens de deuxième instance. V. L'arrêt est exécutoire. Le président : La greffière : Du L'arrêt qui précède, dont la rédaction a été approuvée à huis clos, est notifié à : - Me D.________, - M. A.U.________, - M. X.________,</w:t>
      </w:r>
    </w:p>
    <w:p>
      <w:r>
        <w:t>- 13 -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