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PT25.047359 vom 28. April 2026</w:t>
      </w:r>
    </w:p>
    <w:p>
      <w:r>
        <w:t>VD Tribunal cantonal, 2026-04-28, FR</w:t>
      </w:r>
    </w:p>
    <w:p>
      <w:r>
        <w:rPr>
          <w:b/>
        </w:rPr>
        <w:t xml:space="preserve">Quelle: </w:t>
      </w:r>
      <w:r>
        <w:t>https://mcp.opencaselaw.ch/entscheid/vd_gerichte_PT25.047359</w:t>
      </w:r>
    </w:p>
    <w:p>
      <w:r>
        <w:t>FR: VD_GERICHTE PT25.047359 du 28 avril 2026</w:t>
      </w:r>
    </w:p>
    <w:p>
      <w:r>
        <w:t>IT: VD_GERICHTE PT25.047359 del 28 aprile 2026</w:t>
      </w:r>
    </w:p>
    <w:p>
      <w:pPr>
        <w:pStyle w:val="Heading2"/>
      </w:pPr>
      <w:r>
        <w:t>Erwägungen</w:t>
      </w:r>
    </w:p>
    <w:p>
      <w:r>
        <w:rPr>
          <w:b/>
        </w:rPr>
        <w:t>E. 1.1</w:t>
      </w:r>
    </w:p>
    <w:p>
      <w:r>
        <w:t>Le 29 septembre 2025, A.________ et I.________ SAS ont déposé une demande en paiement à l’encontre de B.________ Gmbh auprès de la Chambre patrimoniale cantonale (ci-après : la Chambre patrimoniale).</w:t>
      </w:r>
    </w:p>
    <w:p>
      <w:r>
        <w:rPr>
          <w:b/>
        </w:rPr>
        <w:t>E. 1.2</w:t>
      </w:r>
    </w:p>
    <w:p>
      <w:r>
        <w:t>Par requête datée du 5 novembre 2025 mais reçue le 13 novembre 2025 par la Chambre patrimoniale, B.________ Gmbh a requis la suspension de la procédure introduite par A.________ et I.________ SAS à son encontre « jusqu’à la clôture de la procédure pénale en cours devant les autorités italiennes et suisses ».</w:t>
      </w:r>
    </w:p>
    <w:p>
      <w:r>
        <w:rPr>
          <w:b/>
        </w:rPr>
        <w:t>E. 1.3</w:t>
      </w:r>
    </w:p>
    <w:p>
      <w:r>
        <w:t>Par prononcé du 15 avril 2026, la Juge déléguée de la Chambre patrimoniale cantonale (ci-après : la première juge) a rejeté la requête de suspension de la procédure déposée le 10 novembre 2025 par B.________ Gmbh (I), mis les frais judiciaires, arrêtés à 800 fr., à la charge de B.________ Gmbh (II) et dit que B.________ Gmbh devait verser à A.________ et I.________ SAS la somme de 800 fr. à titre de dépens. En substance, la première juge a considéré que les arguments invoqués par B.________ Gmbh n’étaient pas de nature à permettre une suspension de la cause civile, celle-ci n’étant admissible qu’exceptionnellement, le principe de célérité devant primer en cas de doute.</w:t>
      </w:r>
    </w:p>
    <w:p>
      <w:r>
        <w:rPr>
          <w:b/>
        </w:rPr>
        <w:t>E. 2</w:t>
      </w:r>
    </w:p>
    <w:p>
      <w:r>
        <w:t>Par acte du 24 avril 2026, B.________ Gmbh (ci-après : la recourante) a interjeté recours de ce prononcé en concluant, avec suite de frais, à son annulation et à ce que la suspension de la procédure soit ordonnée. Subsidiairement, la recourante a conclu à ce que la cause soit renvoyée à l’autorité précédente. Elle a également requis l’effet suspensif et a produit des pièces nouvelles. 14J020</w:t>
      </w:r>
    </w:p>
    <w:p>
      <w:r>
        <w:t>- 3 - A.________ et I.________ SAS (ci-après : les intimés) n’ont pas été invités à se déterminer.</w:t>
      </w:r>
    </w:p>
    <w:p>
      <w:r>
        <w:rPr>
          <w:b/>
        </w:rPr>
        <w:t>E. 3.1.1</w:t>
      </w:r>
    </w:p>
    <w:p>
      <w:r>
        <w:t>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A l’inverse de l’ordonnance de suspension de cause (art. 126 al. 2 CPC), la décision de refus de suspension ne peut faire que l’objet du recours de l’art. 319 let. b ch. 2 CPC, le recourant devant démontrer le risque de préjudice difficilement réparable qui pourrait résulter du refus de suspendre la procédure (TF 5D_182/2015 du 2 février 2016 consid. 1.3 ; CREC 28 octobre 2025/257). Le recours, écrit et motivé, doit être introduit auprès de l’instance de recours, soit en l’occurrence la Chambre des recours civile (art. 73 al. 1 LOJV [loi d’organisation judiciaire du 12 décembre 1979 ; BLV 173.01]), dans un délai de dix jours à compter de la notification de la décision motivée (art. 321 al. 2 CPC).</w:t>
      </w:r>
    </w:p>
    <w:p>
      <w:r>
        <w:rPr>
          <w:b/>
        </w:rPr>
        <w:t>E. 3.1.2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28 octobre 2025/257 ; Jeandin in Bohnet et al., Commentaire romand, Code de procédure civile, 2e éd., Bâle 2019,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14J020</w:t>
      </w:r>
    </w:p>
    <w:p>
      <w:r>
        <w:t>- 4 -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références citées).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(CREC 14 janvier 2025/9 consid. 2.2 et la référence citée ; CREC 26 septembre 2017/370 consid. 2.2 et les références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21 mars 2024/88 ; CREC 15 octobre 2020/239 ; CREC 13 décembre 2019/344).</w:t>
      </w:r>
    </w:p>
    <w:p>
      <w:r>
        <w:rPr>
          <w:b/>
        </w:rPr>
        <w:t>E. 3.1.3</w:t>
      </w:r>
    </w:p>
    <w:p>
      <w:r>
        <w:t>Pour être recevable, le recours doit être motivé (art. 321 al. 1 in initio CPC).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14J020</w:t>
      </w:r>
    </w:p>
    <w:p>
      <w:r>
        <w:t>- 5 -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5A_959/2023 du 23 janvier 2024 consid. 3.2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w:t>
      </w:r>
    </w:p>
    <w:p>
      <w:r>
        <w:rPr>
          <w:b/>
        </w:rPr>
        <w:t>E. 3.1.4</w:t>
      </w:r>
    </w:p>
    <w:p>
      <w:r>
        <w:t>Selon l’art. 326 al. 1 CPC, les allégations de fait et les preuves nouvelles sont irrecevables dans le cadre de la procédure de recours.</w:t>
      </w:r>
    </w:p>
    <w:p>
      <w:r>
        <w:rPr>
          <w:b/>
        </w:rPr>
        <w:t>E. 3.2.1</w:t>
      </w:r>
    </w:p>
    <w:p>
      <w:r>
        <w:t>La première juge a constaté que la recourante se prévalait de deux plaintes pénales qu’elle avait récemment déposées en Italie et en Suisse, pour les infractions de faux, escroquerie et usurpation d’identité de son représentant, pour requérir la suspension de la procédure civile intentée à son encontre par les intimés. Elle a relevé que la recourante n’étayait pas l’état d’avancement de ces procédures, pas plus qu’elle n’exposait les circonstances dans lesquelles le contrat de sponsoring du 9 juillet 2024, objet de la procédure civile dirigée à son encontre, aurait été signé à l’insu 14J020</w:t>
      </w:r>
    </w:p>
    <w:p>
      <w:r>
        <w:t>- 6 - de son administrateur. La première juge a considéré, comme relevé par les intimés, que l’on pouvait se demander si la procédure pénale initiée le</w:t>
      </w:r>
    </w:p>
    <w:p>
      <w:r>
        <w:rPr>
          <w:b/>
        </w:rPr>
        <w:t>E. 3.2.2</w:t>
      </w:r>
    </w:p>
    <w:p>
      <w:r>
        <w:t>En l'espèce, la recourante affirme de manière péremptoire que la poursuite du procès civil l’exposerait « au risque d'un jugement fondé sur un état de fait incomplet ou erroné ». Elle allègue en outre que le préjudice difficilement réparable serait réalisé du fait du risque qu'une décision civile fondée sur un contrat potentiellement frauduleux soit rendue, qu'elle subisse une atteinte durable à sa situation juridique et économique et qu'elle soit confrontée à une impossibilité de se défendre efficacement sans clarification pénale préalable. Les allégations très générales de la recourante ne permettent pas d'établir l'existence d’un risque de préjudice difficilement réparable qui découlerait du fait que la suspension ne soit pas ordonnée. En particulier, la recourante ne fait pas la démonstration que la procédure pénale en cours aurait une influence déterminante sur le procès civil pendant et ne contre pas les arguments en sens contraire de la première juge, ce qui aurait pu faire admettre le préjudice difficilement réparable et heurte en cela les exigences de motivation qui découlent de l'art. 321 CPC – la jurisprudence en lien avec l'art. 311 CPC étant applicable ici (cf. consid. 3.1.3 supra). Il est d'ailleurs rappelé, à titre superfétatoire, qu'une suspension n'est admissible qu'à titre exceptionnel, ce qui ne saurait être le cas ici sur la base des explications toutes relatives données par la recourante. A tout cela s'ajoute encore le fait que les pièces nouvellement produites devant la Chambre de céans sont irrecevables (cf. consid. 3.1.4 supra) et ne permettent pas d'asseoir, à supposer que cela soit possible, les propos de la recourante. 14J020</w:t>
      </w:r>
    </w:p>
    <w:p>
      <w:r>
        <w:t>- 7 - En définitive, la recourante ne fait pas la démonstration d'un risque de préjudice difficilement réparable, de sorte que son recours est irrecevable. 4. 4.1 En définitive, en l’absence de risque de préjudice difficilement réparable, le recours doit être déclaré irrecevable, conformément à l’art. 322 al. 1 in fine CPC. Partant, la requête d’effet suspensif est sans objet. 4.2 Le présent arrêt est rendu sans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en application de l'art. 322 al. 1 in fine CPC, prononce : I. Le recours est irrecevable. II. La requête d’effet suspensif est sans objet. 14J020</w:t>
      </w:r>
    </w:p>
    <w:p>
      <w:r>
        <w:t>- 8 - III. L’arrêt, rendu sans frais, est exécutoire. La présidente : La greffière : Du L'arrêt qui précède, dont la rédaction a été approuvée à huis clos, est notifié à : - B.________ Gmbh, - Me Basile Casoni (pour A.________ et I.________ SAS),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 14J020</w:t>
      </w:r>
    </w:p>
    <w:p>
      <w:r>
        <w:rPr>
          <w:b/>
        </w:rPr>
        <w:t>E. 6</w:t>
      </w:r>
    </w:p>
    <w:p>
      <w:r>
        <w:t>novembre 2025 en Suisse ne l’avait pas été pour les besoins de la cause, dès lors que la requête de suspension était certes datée du 5 novembre 2025, mais qu’elle n’avait été reçue que le 13 novembre 2025 par le greffe de la Chambre patrimoniale. La première juge a ainsi rejeté la requête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