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PT25.007771 vom 10. Juli 2025</w:t>
      </w:r>
    </w:p>
    <w:p>
      <w:r>
        <w:t>VD Tribunal cantonal, 2025-07-10, FR</w:t>
      </w:r>
    </w:p>
    <w:p>
      <w:r>
        <w:rPr>
          <w:b/>
        </w:rPr>
        <w:t xml:space="preserve">Quelle: </w:t>
      </w:r>
      <w:r>
        <w:t>https://mcp.opencaselaw.ch/entscheid/vd_gerichte_PT25.007771</w:t>
      </w:r>
    </w:p>
    <w:p>
      <w:r>
        <w:t>FR: VD_GERICHTE PT25.007771 du 10 juillet 2025</w:t>
      </w:r>
    </w:p>
    <w:p>
      <w:r>
        <w:t>IT: VD_GERICHTE PT25.007771 del 10 luglio 2025</w:t>
      </w:r>
    </w:p>
    <w:p>
      <w:pPr>
        <w:pStyle w:val="Heading2"/>
      </w:pPr>
      <w:r>
        <w:t>Erwägungen</w:t>
      </w:r>
    </w:p>
    <w:p>
      <w:r>
        <w:rPr>
          <w:b/>
        </w:rPr>
        <w:t>E. 1</w:t>
      </w:r>
    </w:p>
    <w:p>
      <w:r>
        <w:t>Ensuite d’une plainte déposée en interne par la recourante le 13 juillet 2023, laquelle se prévalait de harcèlement moral qu’aurait commis son supérieur hiérarchique, L.________ a mandaté l’Etude [...] Sàrl, anciennement [...] Sàrl, pour mener une enquête interne. Mes M.________ et [...] ont été chargées de cette enquête, dans le cadre de laquelle elles ont entendu des employés de L.________. La recourante n’y a, quant à elle, pas participé. Cette enquête a donné lieu à un rapport du 27 novembre 2023.</w:t>
      </w:r>
    </w:p>
    <w:p>
      <w:r>
        <w:rPr>
          <w:b/>
        </w:rPr>
        <w:t>E. 1.1</w:t>
      </w:r>
    </w:p>
    <w:p>
      <w:r>
        <w:t>En procédure civile, la décision relative à la capacité de postuler de l’avocat entre dans la catégorie des décisions d’instruction au sens de l’art. 124 al. 1 CPC (Code de procédure civile du 19 décembre 2008 ; RS 272 ; ATF 147 III 351 consid. 6.3). Ce type de décision peut être attaqué par la voie du recours de l’art. 319 let. b ch. 2 CPC. Le recours, écrit et motivé, doit être introduit dans les dix jours à compter de la notification de la décision motivée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à savoir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11 mars 2024/74 consid. 1.1).</w:t>
      </w:r>
    </w:p>
    <w:p>
      <w:r>
        <w:rPr>
          <w:b/>
        </w:rPr>
        <w:t>E. 1.2</w:t>
      </w:r>
    </w:p>
    <w:p>
      <w:r>
        <w:t>En l’espèce, il ne saurait être tenu compte de la partie « EN FAIT » du recours consistant en 28 allégués, faute de toute critique des faits sous l’angle de l’arbitraire.</w:t>
      </w:r>
    </w:p>
    <w:p>
      <w:r>
        <w:t>- 5 - Dans son recours, la recourante s’en prend au refus du juge délégué d’interdire au conseil adverse d’assister sa cliente. Elle soutient l’existence d’un conflit d’intérêts concret en raison du fait que Me M.________ a représenté L.________ dans le cadre de la contestation de son licenciement par la recourante, dans le cadre de l’enquête interne et dans le cadre de la présente procédure. Elle reproche également au juge délégué de ne pas avoir retenu de violation du principe d’indépendance au sens de l’art. 12 let. b LLCA. La recourante se contente de reprendre les arguments soulevés en première instance pour nier la capacité de postuler de Me M.________. Or, elle ne parle pas, et ne tente encore moins, nonobstant la jurisprudence du Tribunal fédéral, d’établir la recevabilité de son acte de recours par la démonstration d’un risque de préjudice difficilement réparable. De toute manière, dès lors que la recourante reconnaît elle- même que « compte tenu des circonstances dans lesquelles le rapport d’enquête interne a été établi, il y a de forts risques que l’autorité de première instance la considérera comme n’ayant aucune valeur probante », on ne discerne pas de quel préjudice elle aurait pu se prévaloir.</w:t>
      </w:r>
    </w:p>
    <w:p>
      <w:r>
        <w:rPr>
          <w:b/>
        </w:rPr>
        <w:t>E. 2</w:t>
      </w:r>
    </w:p>
    <w:p>
      <w:r>
        <w:t>Le 13 février 2025, la recourante a saisi la Chambre patrimoniale cantonale dans la cause en conflit du travail l’opposant à L.________. Par requête du même jour, la recourante a conclu à ce qu’il soit fait interdiction à Me M.________ de représenter L.________ dans le cadre de la procédure en raison d’un risque de conflit d’intérêts concret. Dans ses déterminations du 26 mars 2025, l’intimée a conclu au rejet de la requête.</w:t>
      </w:r>
    </w:p>
    <w:p>
      <w:r>
        <w:t>- 4 - En d roit : 1.</w:t>
      </w:r>
    </w:p>
    <w:p>
      <w:r>
        <w:rPr>
          <w:b/>
        </w:rPr>
        <w:t>E. 2.1</w:t>
      </w:r>
    </w:p>
    <w:p>
      <w:r>
        <w:t>En définitive, faute de préjudice difficilement réparable, le recours doit être déclaré irrecevable selon l’art. 322 al. 1 in fine CPC.</w:t>
      </w:r>
    </w:p>
    <w:p>
      <w:r>
        <w:rPr>
          <w:b/>
        </w:rPr>
        <w:t>E. 2.2</w:t>
      </w:r>
    </w:p>
    <w:p>
      <w:r>
        <w:t>Les frais judiciaires de deuxième instance, arrêtés à 300 fr. (art. 69 al. 1 et 70 al. 2 TFJC [tarif des frais judiciaires civils du 28 septembre 2010 ; BLV 270.11.5]), doivent être mis à la charge de la recourante, qui succombe (art. 106 al. 1 CPC). Il n’est pas alloué de dépens de deuxième instance, dès lors que l’intimée n’a pas été invitée à se déterminer.</w:t>
      </w:r>
    </w:p>
    <w:p>
      <w:r>
        <w:t>- 6 - Par ces motifs, la Chambre des recours civile du Tribunal cantonal, en application de l'art. 322 al. 1 CPC, prononce : I. Le recours est irrecevable. II. Les frais judiciaires de deuxième instance, arrêtés à 300 fr. (trois cents francs), sont mis à la charge de la recourante D.________. III. L’arrêt est exécutoire. La présidente : La greffière : Du L'arrêt qui précède, dont la rédaction a été approuvée à huis clos, est notifié à : - Me Kieu-Oanh Nguyen Oberhaensli (pour D.________), - Me M.________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