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PT21.028590 vom 26. Januar 2026</w:t>
      </w:r>
    </w:p>
    <w:p>
      <w:r>
        <w:t>VD Tribunal cantonal, 2026-01-26, FR</w:t>
      </w:r>
    </w:p>
    <w:p>
      <w:r>
        <w:rPr>
          <w:b/>
        </w:rPr>
        <w:t xml:space="preserve">Quelle: </w:t>
      </w:r>
      <w:r>
        <w:t>https://mcp.opencaselaw.ch/entscheid/vd_gerichte_PT21.028590</w:t>
      </w:r>
    </w:p>
    <w:p>
      <w:r>
        <w:t>FR: VD_GERICHTE PT21.028590 du 26 janvier 2026</w:t>
      </w:r>
    </w:p>
    <w:p>
      <w:r>
        <w:t>IT: VD_GERICHTE PT21.028590 del 26 gennaio 2026</w:t>
      </w:r>
    </w:p>
    <w:p>
      <w:pPr>
        <w:pStyle w:val="Heading2"/>
      </w:pPr>
      <w:r>
        <w:t>Erwägungen</w:t>
      </w:r>
    </w:p>
    <w:p>
      <w:r>
        <w:rPr>
          <w:b/>
        </w:rPr>
        <w:t>E. 3.1</w:t>
      </w:r>
    </w:p>
    <w:p>
      <w:r>
        <w:t>L’appelant se plaint principalement de diverses constatations inexactes des faits qu’il lie ensuite à une violation de l’art. 40 LCA.</w:t>
      </w:r>
    </w:p>
    <w:p>
      <w:r>
        <w:rPr>
          <w:b/>
        </w:rPr>
        <w:t>E. 3.2</w:t>
      </w:r>
    </w:p>
    <w:p>
      <w:r>
        <w:t>Dans sa réponse, l’intimée se réfère à l’état de fait du jugement entrepris et souligne le défaut de collaboration de l’appelant. Elle plaide que les conditions de l’art. 40 LCA sont réalisées et que le jugement attaqué doit être confirmé.</w:t>
      </w:r>
    </w:p>
    <w:p>
      <w:r>
        <w:rPr>
          <w:b/>
        </w:rPr>
        <w:t>E. 3.3</w:t>
      </w:r>
    </w:p>
    <w:p>
      <w:r>
        <w:t>Les premiers juges ont considéré que l’intimée avait apporté suffisamment d’éléments fondant un doute sur la véracité des déclarations de l’appelant. Selon eux, l’intimée a pu démontrer que le véhicule avait été utilisé à deux reprises entre minuit et minuit et demie, alors que l’appelant avait affirmé l’avoir garé à 23 heures, ce qui mettait par conséquent en doute la crédibilité de celui-ci. Par ailleurs, les premiers juges ont considéré que, bien que la cause de l’incendie n’ait pas pu être déterminée, il avait été établi que H.______ avait emprunté la voiture de l’appelant pour aller se procurer du cannabis et qu’il n’était donc pas impossible qu’il ait fumé celui- ci à l’intérieur du véhicule, ce qui aurait pu provoquer le sinistre. Considérant cet élément comme important, ils ont estimé que sa dissimulation par l’appelant à l’intimée excluait l’obligation de prester de l’assurance. Les premiers juges ont également estimé que l’appelant avait fait des déclarations contraires à la vérité s’agissant du prix payé pour l’achat de son véhicule.</w:t>
      </w:r>
    </w:p>
    <w:p>
      <w:r>
        <w:rPr>
          <w:b/>
        </w:rPr>
        <w:t>E. 3.4.1</w:t>
      </w:r>
    </w:p>
    <w:p>
      <w:r>
        <w:t>Selon l’art. 39 al. 1 LCA, sur la demande de l’entreprise d’assurance, l’ayant droit doit lui fournir tout renseignement sur les faits à sa connaissance qui peuvent servir à déterminer les circonstances dans lesquelles le sinistre s’est produit ou à fixer les conséquences du sinistre. 19J010</w:t>
      </w:r>
    </w:p>
    <w:p>
      <w:r>
        <w:t>- 20 - L’art. 40 LCA prévoit que si l’ayant droit ou son représentant, dans le but d’induire l’assureur en erreur, dissimule ou déclare inexactement des faits qui auraient exclu ou restreint l’obligation de l’assureur, ou si, dans le but d’induire l’assureur en erreur, ne fait pas ou fait tardivement les communications que lui impose l’art. 39 LCA, l’assureur n’est pas lié par le contrat envers l’ayant droit. D’un point de vue objectif, la dissimulation ou la déclaration inexacte doit porter sur des faits qui sont propres à remettre en cause l’obligation même de l’assureur ou à influer sur son étendue (Guyaz, in Brulhart/Frésard-Fellay/Subilia, Commentaire romand de la Loi sur le contrat d’assurance [cité ci-après : CR-LCA], Bâle, 2022, n. 7 ad art. 40 LCA) ; en d’autres termes, une communication incorrecte des faits conduirait l’assureur à verser une prestation moins importante, voire aucune. Ainsi en est-il lorsque l’ayant droit donne des indications trop élevées sur le prix d’acquisition de la chose assurée (TF 4A_397/2018 du 5 septembre 2019 consid. 5.1). De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L’assureur peut alors refuser toute prestation, même si la fraude se rapporte à une partie seulement du dommage (TF 4A_378/2021 du 12 octobre 2021 consid. 4.1 et l’arrêt cité ; CACI 2 décembre 2024/542 consid. 3.2.1). Il n’est pas nécessaire pour l’assureur d’établir quel montant exact il aurait versé si la fraude n’avait pas été découverte ; l’art. 40 LCA trouve déjà application lorsque l’ayant droit tait un élément important et déterminant pour fixer la prestation d’assurance et améliore ainsi de façon décisive sa position dans les négociations ou ses chances d’obtenir une prestation injustifiée (Guyaz, CR-LCA, n. 8 ad art. 40 LCA). A titre d’exemple, en matière d’assurance casco, la jurisprudence fédérale retient que le seul fait que le contrat d’achat fourni par l’assuré au moment du sinistre contienne de fausses indications quant au kilométrage et à la personne de l’acheteur ne permet pas, en soi, de retenir une prétention frauduleuse. En vertu des conditions générales, seul joue véritablement un rôle le prix 19J010</w:t>
      </w:r>
    </w:p>
    <w:p>
      <w:r>
        <w:t>- 21 - effectivement payé à l’achat du véhicule (TF 4A_211/2017 du 4 décembre 2017 consid. 4.3).</w:t>
      </w:r>
    </w:p>
    <w:p>
      <w:r>
        <w:rPr>
          <w:b/>
        </w:rPr>
        <w:t>E. 3.4.2</w:t>
      </w:r>
    </w:p>
    <w:p>
      <w:r>
        <w:t>Bien que la LCA ne traite pas de la question de la répartition du fardeau de la preuve en assurance privée, le système ne diffère pas des règles de droit commun, et plus particulièrement de la règle générale de l’art. 8 CC (Code civil suisse du 10 décembre 1907 ; RS 210). En vertu de cette règle générale,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d’alléguer et de prouver notamment la survenance du sinistre (ATF 130 III 321 consid. 3.1 ; TF 4A_432/2015 du 8 février 2016 consid. 201). Cette preuve étant par nature difficile à apporter, l’exigence de preuve est réduite et il suffit que l’ayant droit établisse une vraisemblance prépondérante, qui ne doit pas être confondue avec une simple vraisemblance (ATF 130 III 321 consid. 3.3). Le degré de la preuve applicable à l’intention d’induire en erreur, qui incombe à l’assureur, est également celui de la vraisemblance prépondérante. En revanche, l’assureur ne se trouve pas dans un état de nécessité pour ce qui est de la preuve, qu’il lui appartient d’établir, que l’assuré a présenté les faits de manière contraire à la vérité ; le degré de la preuve ordinaire, soit celui de la preuve stricte, est dès lors en principe applicable (ATF 148 III 134 consid. 3.4).</w:t>
      </w:r>
    </w:p>
    <w:p>
      <w:r>
        <w:rPr>
          <w:b/>
        </w:rPr>
        <w:t>E. 3.4.3</w:t>
      </w:r>
    </w:p>
    <w:p>
      <w:r>
        <w:t>La prétention frauduleuse implique deux sortes de sanctions : la libération de prester de l’assureur et la résolution du contrat. Selon la lettre de la loi, l’assureur n’est pas lié par le contrat, ce qui débouche sur la perte totale de la prestation du preneur d’assurance. Quand bien même le sinistre a effectivement eu lieu, mais que l’ayant droit a réclamé une prestation indûment augmentée, il est admis que l’assureur puisse refuser l’entier de la prestation, alors même qu’une partie serait due au regard de ce que 19J010</w:t>
      </w:r>
    </w:p>
    <w:p>
      <w:r>
        <w:t>- 22 - prévoit le contrat (CACI 8 avril 2022/188 consid. 4.2 ; Brulhart, Droit des assurances privées, 2ème éd., Bâle 2017, n. 815, p. 421). Par ailleurs, l’assureur peut mettre fin à la relation contractuelle avec effet ex tunc ; la résolution étend alors ses effets jusqu’au jour de la fraude, mais non au jour de la conclusion du contrat (TF 4A_534/2018 du 17 janvier 2019 consid. 3.3 ; Brulhart, op. cit., n. 817, p. 422).</w:t>
      </w:r>
    </w:p>
    <w:p>
      <w:r>
        <w:rPr>
          <w:b/>
        </w:rPr>
        <w:t>E. 3.5.1.1</w:t>
      </w:r>
    </w:p>
    <w:p>
      <w:r>
        <w:t>L’appelant s’en prend tout d’abord aux circonstances dans lesquelles s’est déroulé le sinistre. Il fait valoir que les premiers juges auraient considéré que c’est H.______ qui aurait provoqué celui-ci en fumant du cannabis à l’intérieur du véhicule, ce dont il aurait été au courant. L’appelant souligne ensuite que la voiture a été expertisée par J.______, employé de l’intimée, et que celui-ci n’est pas parvenu à déterminer la cause de l’incendie. Il estime que, dans ces circonstances, les premiers juges ont fait preuve d’arbitraire en lui reprochant d’avoir tu un fait en guise d’appui de la thèse d’une prétention frauduleuse alors même que celui-ci ne serait pas démontré, pas plus qu’il n’aurait été établi qu’il en avait connaissance.</w:t>
      </w:r>
    </w:p>
    <w:p>
      <w:r>
        <w:rPr>
          <w:b/>
        </w:rPr>
        <w:t>E. 3.5.1.2</w:t>
      </w:r>
    </w:p>
    <w:p>
      <w:r>
        <w:t>Contrairement à ce qu’allègue l’appelant, les premiers juges n’ont pas tenu pour établi que H.______, en fumant du cannabis dans le véhicule, avait mis le feu à celui-ci. Ils ont relevé que de telles circonstances pourraient être à l’origine du sinistre, sans toutefois le déterminer, et qu’en tout état, taire un tel élément excluait l’obligation de prester de l’intimée. Le grief est donc inopérant. Par surabondance, on relèvera que l’appelant a reconnu avoir volontairement laissé les clés de son véhicule à ses amis, élément qu’il aurait dû annoncer et qu’il n’a admis qu’une fois confronté au fait que ses déclarations ne concordaient pas avec les preuves de démarrage de la voiture. Quant à la suite des évènements, l’appelant, entendu comme partie, a confié qu’il ne souhaitait pas mettre son ami et collègue H.______ 19J010</w:t>
      </w:r>
    </w:p>
    <w:p>
      <w:r>
        <w:t>- 23 - dans l’embarras, raison pour laquelle il n’avait pas expliqué la virée de celui- ci à l’intimée, ce qui démontre qu’il en connaissait les raisons. Là encore, l’appelant n’a pas respecté ses obligations vis-à-vis de l’intimée en taisant des faits entourant la survenance du sinistre. Ces éléments ont été dûment démontrés par l’intimée et ils constituent indéniablement des faits importants qui auraient exclu ou restreint son obligation, que cela soit dans le cadre de l’enquête menée pour déterminer les causes du sinistre, mais également de son éventuel droit de recours contre H.______, dernier utilisateur du véhicule litigieux. Dans ces circonstances, l’établissement des faits par les premiers juges et leur appréciation sont corrects et doivent être confirmés. Ces éléments fondent au surplus l’application de l’art. 40 LCA.</w:t>
      </w:r>
    </w:p>
    <w:p>
      <w:r>
        <w:rPr>
          <w:b/>
        </w:rPr>
        <w:t>E. 3.5.2.1</w:t>
      </w:r>
    </w:p>
    <w:p>
      <w:r>
        <w:t>L’appelant estime ensuite que le jugement entrepris constate les faits de manière erronée s’agissant du prix d’achat du véhicule en tant qu’il n’a pas retenu le prix qu’il a allégué. Il rappelle qu’il a toujours déclaré l’avoir acquis pour un montant de 84'000 fr., contrat de vente à l’appui. Selon l’appelant, plusieurs pièces démontreraient que ce prix n’apparaitrait pas comme exagéré. Il en irait ainsi, selon lui, du document intitulé « taxation de véhicule » qui ferait état d’une valeur de 95'190 fr., options comprises, et de la police d’assurance conclue entre les parties pour une valeur à neuf, options également comprises de 99'374 francs. L’appelant rappelle encore qu’au moment de l’achat du véhicule, celui-ci n’avait roulé que 12'600 kilomètres et se trouvait dans un état irréprochable. Enfin, il fait valoir qu’il ne savait pas qu’une annonce pour la vente de la voiture avait été mise en ligne par le vendeur. L’appelant explique que c’est sa collègue et compagne du vendeur, désormais son épouse, qui l’avait informé de la possibilité d’acquisition de ce bien, sans mentionner un quelconque prix.</w:t>
      </w:r>
    </w:p>
    <w:p>
      <w:r>
        <w:rPr>
          <w:b/>
        </w:rPr>
        <w:t>E. 3.5.2.2</w:t>
      </w:r>
    </w:p>
    <w:p>
      <w:r>
        <w:t>Les faits allégués par l’appelant ont été dûment retenus par les premiers juges. Celui-ci n’expose pas pour quelle raison ils seraient erronés. 19J010</w:t>
      </w:r>
    </w:p>
    <w:p>
      <w:r>
        <w:t>- 24 - En réalité, l’appelant se borne à en exposer sa propre appréciation, ce qui est irrecevable. Son grief eût-il été recevable, qu’il devrait être rejeté. En effet, il ressort des déclarations du témoin F.______ qu’il a admis avoir réalisé une plus-value sur la vente du véhicule sans toutefois pouvoir la chiffrer avec précision cinq ans après. Il ressort des éléments du dossier que l’annonce mise en ligne portait sur un prix de 71'900 fr., montant déjà supérieur à la valeur résiduelle du leasing de 62'879 fr. 95, de sorte qu’une plus-value a bien été réalisée sur cette vente. F.______ a toutefois été catégorique en précisant qu’il se serait souvenu s’il était parvenu à vendre sa voiture plus de 22'000 fr. en dessus du prix cité dans l’annonce et a nié l’avoir vendue pour 84'000 francs. Or, l’appelant n’apporte aucun élément qui permettrait de mettre en doute la force probante du témoignage de F.______ , celui-ci n’ayant pas de parti pris dans la présente procédure et ne disposant d’aucun intérêt à son issue, de sorte qu’il n'y a pas lieu de s’en écarter. Quant à l’évaluation de la taxation du véhicule, le montant allégué par l’appelant de 95'190 fr. est indiqué sous « valeur à neuf » du véhicule. C’est un montant de 70'000 fr. qui est mentionné à titre de « valeur actuelle », étant précisé que la date de taxation était le 23 août 2018, soit au moment de l’achat de la voiture par l’appelant. Il en va de même de la police d’assurance conclue par les parties, l’appelant alléguant lui-même que la valeur indiquée correspond à la valeur à neuf du véhicule. Ces éléments ne sont ainsi pas propres à confirmer que le prix payé aurait été celui allégué par l’appelant. D’ailleurs, le fait que la voiture n’ait été que peu utilisée par son ancien propriétaire et que son état au moment de la vente ait été « irréprochable » ne sont pas pertinents. Il est en effet notoire qu’un véhicule subit par principe une dépréciation avec le temps (TF 4C.197/2004 du 27 septembre 2004 consid. 4.2). Son état n’est qu’un élément à prendre en compte parmi d’autres, sans pour autant être décisif à lui seul. 19J010</w:t>
      </w:r>
    </w:p>
    <w:p>
      <w:r>
        <w:t>- 25 - Enfin, déterminer si l’appelant avait ou non connaissance de l’annonce de vente du véhicule mise en ligne par F.______ n’influe pas sur la question du prix de celui-ci. Comme on l’a vu, il n’y a pas de raison de douter des déclarations du témoin qui, en vendant le véhicule à 71'900 fr., réalisait déjà une plus-value. Quant à son épouse, qui était alors sa compagne, elle a déclaré qu’elle n’avait pas connaissance du prix de vente exact du véhicule, ce dont il n’y a pas non plus lieu de s’écarter en l’absence de tout doute quant à sa crédibilité. Le prix allégué par l’appelant étant erroné, il en découle que l’intimée était fondée à refuser toute prestation en application de l’art. 40 LCA. Là encore, l’appréciation des premiers juges ne prête pas le flanc à la critique et doit également être confirmée.</w:t>
      </w:r>
    </w:p>
    <w:p>
      <w:r>
        <w:rPr>
          <w:b/>
        </w:rPr>
        <w:t>E. 3.6</w:t>
      </w:r>
    </w:p>
    <w:p>
      <w:r>
        <w:t>En définitive, force est de constater que l’intimée a bien apporté la preuve que l’appelant a déclaré des faits contraires à la vérité concernant l’utilisation de son véhicule et le prix payé pour son achat, ce dans l’intention d’induire en erreur l’intimée quant à l’étendue de ses prestations. Le comportement de l’appelant réalisant les conditions prévues par l’art. 40 LCA, l’intimée était fondée à refuser toute prestation et résilier le contrat d’assurance qui les liait.</w:t>
      </w:r>
    </w:p>
    <w:p>
      <w:r>
        <w:rPr>
          <w:b/>
        </w:rPr>
        <w:t>E. 4.1</w:t>
      </w:r>
    </w:p>
    <w:p>
      <w:r>
        <w:t>Compte tenu de ce qui précède, l’appel doit être rejeté et le jugement entrepris confirmé.</w:t>
      </w:r>
    </w:p>
    <w:p>
      <w:r>
        <w:rPr>
          <w:b/>
        </w:rPr>
        <w:t>E. 4.2</w:t>
      </w:r>
    </w:p>
    <w:p>
      <w:r>
        <w:t>Les frais judiciaires de deuxième instance, arrêtés à 1'914 fr. (art. 62 al. 1 TFJC [tarif des frais judiciaires civils du 28 septembre 2010 ; BLV 270.11.5], seront mis à la charge de l’appelant qui succombe (art. 106 al. 1 CPC) et compensés avec l’avance fournie par celui-ci.</w:t>
      </w:r>
    </w:p>
    <w:p>
      <w:r>
        <w:rPr>
          <w:b/>
        </w:rPr>
        <w:t>E. 4.3</w:t>
      </w:r>
    </w:p>
    <w:p>
      <w:r>
        <w:t>Les dépens de deuxième instance peuvent être estimés, compte tenu de l’ampleur et de la difficulté de la cause, à 2’500 fr. (art. 3 al. 1, 7 al. 1 et 19 al. 2 TDC [tarif des dépens en matière civile du 23 novembre 2010 ; 19J010</w:t>
      </w:r>
    </w:p>
    <w:p>
      <w:r>
        <w:t>- 26 - BLV 270.11.6]. L’appelant versera à l’intimée la somme de 2’500 fr.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