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PT21.027701 vom 9. November 2022</w:t>
      </w:r>
    </w:p>
    <w:p>
      <w:r>
        <w:t>VD Tribunal cantonal, 2022-11-09, FR</w:t>
      </w:r>
    </w:p>
    <w:p>
      <w:r>
        <w:rPr>
          <w:b/>
        </w:rPr>
        <w:t xml:space="preserve">Quelle: </w:t>
      </w:r>
      <w:r>
        <w:t>https://mcp.opencaselaw.ch/entscheid/vd_gerichte_PT21.027701</w:t>
      </w:r>
    </w:p>
    <w:p>
      <w:r>
        <w:t>FR: VD_GERICHTE PT21.027701 du 9 novembre 2022</w:t>
      </w:r>
    </w:p>
    <w:p>
      <w:r>
        <w:t>IT: VD_GERICHTE PT21.027701 del 9 novembre 2022</w:t>
      </w:r>
    </w:p>
    <w:p>
      <w:pPr>
        <w:pStyle w:val="Heading2"/>
      </w:pPr>
      <w:r>
        <w:t>Erwägungen</w:t>
      </w:r>
    </w:p>
    <w:p>
      <w:r>
        <w:rPr>
          <w:b/>
        </w:rPr>
        <w:t>E. 11</w:t>
      </w:r>
    </w:p>
    <w:p>
      <w:r>
        <w:t>septembre 2018 par G.________ avant que la décision de le transférer à [...] ne soit prise. De même, il a également été entendu lors d’une séance le 7 novembre 2019 avec D.________ et P.________, responsables respectivement des ressources humaines et du secteur du gros-œuvre, à l’issue de laquelle il a été informé que l’intimé, à cours de solutions, n’entendait pas le réintégrer. C’est le lieu de relever que l’intimé a proposé à l’appelant de venir accompagné de son conseiller AI à cette séance, ce que l’appelant a refusé, de sorte qu’il ne saurait reprocher ensuite à l’intimé de ne pas avoir pris en compte l’avis de ce conseiller. A cela s’ajoute que l’intimé a confirmé sa position à de nombreuses reprises. C’est dès lors en vain que l’appelant se plaint d’un manque de réaction de l’employeur.</w:t>
      </w:r>
    </w:p>
    <w:p>
      <w:r>
        <w:t>- 37 - Au vu de ces éléments, l’appréciation des premiers juges s’agissant du comportement problématique de l’appelant et de l’absence de toute violation de l’employeur de son devoir de protection ne prête pas le flanc à la critique et peut être reprise intégralement. 4.6 Faute pour l’appelant d’avoir établi une violation de l’art. 328 CO, il n’y a pas lieu d’examiner la question de l’indemnité invoquée à ce titre. 5. 5.1 L’appelant soutient que son licenciement serait abusif. Il reproche aux premiers juges de ne pas avoir tenu compte du certificat de travail intermédiaire établi le 6 décembre 2017 par l’intimé, préférant se référer à une procédure datant de 2013 dont le contexte n’avait pas été établi de manière équitable, dès lors que seuls les éléments avancés par l’intimé avaient été pris en compte. Les magistrats auraient retenu, à tort, la version de l’employeur, selon laquelle en tant que représentant typique, symbolique, de la défense des droits des travailleurs, celui-ci s’évertuait à fournir des certificats de travail ne desservant pas les intérêts des employés. Les motifs de licenciement invoqué par l’intimé, en lien avec son prétendu comportement problématique envers les autres employés, ne seraient qu’un prétexte. Il en veut pour preuve le fait qu’il aurait été victime d’une dénonciation calomnieuse de la part de deux collègues en 2015, alors même qu’un rapport d’enquête aurait démontré qu’il n’était pas responsable de cette situation. 5.2 5.2.1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w:t>
      </w:r>
    </w:p>
    <w:p>
      <w:r>
        <w:t>- 38 - abusif (art. 336 ss CO ; ATF 136 III 513 consid. 2.3 ; ATF 132 III 115 consid. 2.1 ; ATF 131 III 535 consid. 4.1). L'art. 336 al. 1 et 2 CO énumère des cas dans lesquels la résiliation est abusive.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Ill 513 consid. 2.3 ; ATF 132 III 115 consid. 2.1 ATF 131 III 535 consid. 4.2 ; parmi d'autres :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réf. cités). 5.2.2 Pour dire si un congé est abusif, il faut se fonder sur son motif réel. Déterminer le motif d'une résiliation est une question qui relève du fait (ATF 136 III 513 consid. 2.6 ; TF 4A_42/2018 précité consid. 3.1). En application de l'art. 8 CC (Code civil suisse du 10 décembre 1907 ; RS 210),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w:t>
      </w:r>
    </w:p>
    <w:p>
      <w:r>
        <w:t>- 39 - 699 consid. 4.1 et les réf. citées, JdT 2006 I 193 ; TF 4A_92/2017 du 26 juin 2017 consid. 2.2.2). Ainsi, le juge peut présumer un abus lorsque le motif avancé par l'employeur semble mensonger et que celui-ci ne parvient pas à en apporter la confirmation (TF 4A_50/2020 du 1er juillet 2020 consid. 2). 5.3 S’agissant de la violation de l’art. 336 CO invoquée par l’appelant, les premiers juges se sont d’abord référés aux incidents survenus auprès de la section de [...] de l’intimé et ont notamment relevé à cet égard que l’appelant était incapable d’autocritique et de remise en question. A la suite du transfert de l’appelant dans la région [...], des difficultés relationnelles entre l’appelant et deux de ses collaboratrices ont été mises au jour. Les premiers juges ont relevé que si la manière dont la commission du personnel de l’intimé avait géré cette affaire apparaissait très critiquable, il ne ressortait toutefois pas de l’instruction que l’appelant avait subi du mobbing de la part de ces deux employées. Ils ont constaté ensuite qu’en 2017, une autre collaboratrice, V.________, s’était plainte du comportement de l’appelant. En 2018, l’appelant avait ensuite rencontré des difficultés avec son supérieur T.________, lequel avait eu vent de comportements déplacés de l’appelant par le biais d’appels de collègues. Les premiers juges ont constaté que les tensions entre l’appelant et ses collègues et son supérieur hiérarchique avaient fini par atteindre un seuil critique ayant conduit G.________, secrétaire régional d’C.________ [...], à s’entretenir le 11 septembre 2018 avec l’appelant pour lui signifier qu’il allait être transféré à [...], ce qui avait poussé six collaborateurs de l’intimé à exprimer par courrier le mal-être qu’ils avaient vécu et leurs interrogations à l’idée de devoir continuer à travailler avec l’appelant malgré son déplacement à [...], étant donné que le secrétariat de [...] dépendait de celui d’[...]. Les premiers juges ont ainsi considéré que l’intimé, à cours de solution, avait licencié l’appelant en raison de son comportement sur son lieu de travail et qu’il n’y avait rien d’abusif dans cette démarche. Les premiers juges ont précisé qu’il n’y avait aucun abus de la part de l’employeur du fait de la tenue de la réunion du 7 novembre</w:t>
      </w:r>
    </w:p>
    <w:p>
      <w:r>
        <w:t>- 40 - 2019 et de ce qui s’y était dit. A cette occasion, les représentants de l’employeur avaient expliqué clairement à l’appelant les problèmes que son retour au travail présentait. Le tribunal a ainsi retenu que l’employeur était en droit de renoncer au déplacement de l’appelant à [...] et de le licencier, ce qui avait été fait le 7 juillet 2020, hors de toute période de protection, étant donné que l’appelant était apte à travailler à 100 % dès le 1er juillet 2020. 5.4 En l’espèce, on rappellera que les allégations de mobbing et d’absence de toute réaction de l’employeur n’ont pas été établies. Au contraire, c’est bien le comportement problématique de l’appelant qui a justifié son licenciement (cf. supra consid. 5.5.2). L’incident survenu en 2015 à la suite de la dénonciation de deux collègues de l’appelant est insuffisant à renverser cette appréciation, étant précisé qu’il ne ressort pas du rapport « BeTrieb » que celui-ci aurait été la victime de mobbing de la part de ces deux employées. L’appelant se contente ainsi d’évoquer cette affaire, en faisant abstraction de toutes les autres plaintes déposées à son encontre en 2017 et 2018. Enfin, s’agissant du certificat de travail élogieux établi en 2017, on relèvera que celui-ci est antérieur aux événements survenus en 2018 ayant conduit à la décision de transférer l’intéressé à [...]. Il n’est en outre pas exclu que l’intimé – en tant que représentant symbolique de la défense des droits des travailleurs – rédigeait des certificats de manière bienveillante, ne desservant pas les intérêts des employés, de sorte que le contenu du certificat intermédiaire ne permet pas de remettre en question l’existence de graves difficultés relationnelles de l’appelant envers les autres employés de l’intimé. Pour le reste, l’appréciation des premiers juges est convaincante et suffit à rejeter le grief de l’appelant. 5.5 Au vu de ce qui précède, il n’y a pas lieu d’examiner les griefs de l’appelant en lien avec l’indemnité réclamée pour licenciement abusif. 6.</w:t>
      </w:r>
    </w:p>
    <w:p>
      <w:r>
        <w:t>- 41 - 6.1 L’appelant soutient qu’il aurait effectué 852 heures supplémentaires depuis 2014, et en particulier 443,5 heures supplémentaires de 2016 à 2018. Il aurait établi un tableau explicatif des heures supplémentaires, dans lequel il notait chaque jour les heures travaillées et leur motif, document qui a été produit et contesté par l’intimé. Il reproche aux premiers juges d’avoir considéré que dite pièce aurait été établie pour les besoins de la cause, au motif que le montant qui figure sur ledit tableau, par 21'257 fr. 44, correspondait précisément au montant réclamé en justice. Il conteste ainsi la force probante accordée au tableau des heures supplémentaires produit. 6.2 Selon la jurisprudence du Tribunal fédéral, il incombe au travailleur de prouver qu’il a effectué les heures supplémentaires dont il demande la rétribution (TF 4A_28/2018 du 12 septembre 2018 consid. 2 ; TF 4A_611/2012 du 19 février 2013 consid. 2.2). S’il n’est pas possible d’établir le nombre exact d’heures effectuées, le juge peut, par application analogique de l’art. 42 al. 2 CO, en estimer la quotité (TF 4A_28/2018 du 12 septembre 2018 consid. 3). Si l’art. 42 al. 2 CP, allège le fardeau de la preuve, il ne dispense pas le travailleur de fournir au juge, dans la mesure raisonnablement exigible, tous les éléments constituant des indices du nombre d’heures accomplies (TF 4A_28/2018 du 12 septembre 2018 consid. 3 ; ATF 128 III 271 consid. 2b/aa, JdT 2003 I 606, p. 611). Les titres, à savoir tout document ou écrit (cf. art. 177 al. 1 CPC), constituent des moyens de preuve au sens de l’art. 168 al. 1 let. b CPC. Toutefois, il ressort de la jurisprudence du Tribunal fédéral que les attestations d'heures de travail rédigées par celui qui s'en prévaut n'ont pas plus de valeur probante que de simples allégués de parties (TF 5A_822/2008 du 2 mars 2009 consid. 6.1). Le simple fait que l'attestation confectionnée par la partie qui s’en prévaut ait été établie par la partie antérieurement à l'introduction de la procédure n'y change rien (TF 5A_797/2019 du 1er mai 2020 consid. 5.2).</w:t>
      </w:r>
    </w:p>
    <w:p>
      <w:r>
        <w:t>- 42 - 6.3 En l’espèce, le tableau récapitulatif des heures supplémentaires est l’unique moyen de preuve présenté par l’appelant. Il s’agit d’une pièce confectionnée par ses soins, de sorte qu’on ne saurait lui accorder plus de valeur que ses propres allégations, ce indépendamment de savoir si cette pièce aurait été confectionnée antérieurement à la procédure ou non. L’appelant relève en outre que l’intimé a dûment contesté ses allégations quant aux heures supplémentaires effectuées ainsi que la pièce y relative. Dans ces conditions, en l’absence d’autres moyens de preuve produits, c’est à juste titre que les premiers juges ont estimé que l’appelant avait échoué à démontrer l’effectivité des heures supplémentaires alléguées. Le grief doit être rejeté. 7. 7.1 Dans un dernier grief, l’appelant reproche aux premiers juges d’avoir admis partiellement la demande reconventionnelle déposé par l’intimé. Selon la décision deL.________SA du 19 novembre 2021, l’appelant n’aurait épuisé son droit aux prestations que le 31 mai 2022 (recte : 2021), soit postérieurement à la fin du droit au salaire. Par conséquent, l’intimé aurait perçu des indemnités pour le mois de mai 2021 de la part de l’assurance perte de gain LAMal et aucun remboursement ne devrait être ordonné pour cette période. Quant à la période subséquente, soit celle du 1er juin 2021 au 31 juillet 2021, tant l’employé que l’employeur ont été confortés dans leurs erreurs par l’assureur perte de gains LAMal. Il allègue à cet égard que, dans un courrier du 1er juillet 2021, l’assureur aurait indiqué que « les prestations pourr[aient] être refusées au-delà du 19 juillet 2021 si le suivi médical de l’appelant ne s’intensifi[ait] pas ». Or, le suivi se serait intensifié et l’attestation en ce sens aurait été transmise à l’assureur. Il s’ensuit que l’intimé pensait à juste titre que les montants versés à titre de salaire étaient dus puisque l’appelant présentait une capacité de travail résiduelle. Il ajoute, au surplus, qu’il paraîtrait étrange qu’un employeur tel que l’intimé ait pu se trouver dans le champ d’application</w:t>
      </w:r>
    </w:p>
    <w:p>
      <w:r>
        <w:t>- 43 - de l’art. 63 CO. Il allègue également que les montants versés par [...], seuls revenus de l’appelant, ont été immédiatement dépensés pour payer ses charges mensuelles, dès lors qu’il n’avait pas d’économies. Il ressortirait de sa requête d’assistance judiciaire du 24 février 2022 qu’il avait moins de 2'000 fr. sur son compte au début du mois de septembre 2021. L’intimé aurait ainsi réclamé la restitution dudit montant le 24 août 2021 seulement, soit à une période où l’appelant n’était plus enrichi. Dans ces conditions, il aurait prouvé à satisfaction de droit qu’il ne s’était pas dessaisi de mauvaise foi et qu’il ne pouvait se douter d’être tenu à restitution au vu des informations transmises par l’assureur (cf. art. 64 CO). La demande reconventionnelle devrait donc être rejetée. 7.2 7.2.1 Selon l'art. 64 CO, il n'y a pas lieu à restitution dans la mesure où celui qui a reçu indûment établit qu'il n'est plus enrichi lors de la répétition ; à moins cependant qu'il ne se soit dessaisi de mauvaise foi de ce qu'il a reçu ou qu'il ait dû savoir, en se dessaisissant, qu'il pouvait être tenu à restituer. La situation de fortune de l'enrichi est celle qui prévaut lors de la demande de répétition (TF 9C_308/2011 du</w:t>
      </w:r>
    </w:p>
    <w:p>
      <w:r>
        <w:rPr>
          <w:b/>
        </w:rPr>
        <w:t>E. 13</w:t>
      </w:r>
    </w:p>
    <w:p>
      <w:r>
        <w:t>décembre 2011 consid. 5.1). 7.2.2 Dans les litiges portant sur un contrat de travail, lorsque la maxime des débats est applicable (art. 55 al. 1 CPC), soit lorsque la valeur litigieuse dépasse 30'000 fr. dans les causes portant sur un contrat de travail,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Le demandeur supporte le fardeau de l'allégation objectif et le fardeau de la preuve (art. 8 CC), en ce sens qu'il supporte les conséquences de l'absence d'allégation de ce fait,</w:t>
      </w:r>
    </w:p>
    <w:p>
      <w:r>
        <w:t>- 44 - respectivement celles de l'absence de preuve de celui-ci (ATF 143 III 1 consid. 4.1 ; TF 4A_126/2019 du 17 février 2020 consid. 6.1.1). 7.3 Les premiers juges ont considéré que le congé avait été donné le 7 juillet 2020 pour le 31 octobre 2020, par l’employeur, ce qui correspondait à un délai de trois mois pour la fin d’un mois. Ce délai aurait été suspendu pendant 180 jours dès le 11 septembre 2020, soit jusqu’au 9 mars 2021 y compris. Dans la mesure où il restait 1 mois et 20 jours de délai de congé – calculé rétrospectivement depuis le 31 octobre 2020 – au moment de la survenance de l’incapacité le 11 septembre 2020, cette même durée devait être ajoutée à compter du 10 mars 2021, ce qui reportait le terme du contrat de travail au 30 avril 2021. Dès le 1er mai 2021, faute de rapports de travail, l’appelant n’avait plus droit à son salaire, ni aux indemnités journalières de l’assurance perte de gain LAMal de son employeur. Les premiers juges ont ainsi retenu que l’appelant avait reçu sans cause valable les sommes de 5'835 fr. 55 pour mai 2021, de 8'001 fr. 90 pour juin 2021 et de 5'835 fr. 55 pour le mois de juillet 2021, ce qui représentait un montant total de 18'589 fr. 80. Les premiers juges ont considéré que l’intimé ne se serait pas acquitté de ce montant s’il n’avait pas été dans l’erreur. Dès lors que l’appelant n’avait pas allégué ni prouvé qu’il n’était plus enrichi de ce montant au moment de la répétition, soit au moment où l’intimé avait réclamé la restitution des montants payés en trop par courrier du 24 août 2021, l’appelant étant tenu à le restituer. Les premiers juges ont également retenu que l’appelant, assisté, ne pouvait ignorer de bonne foi qu’il n’avait pas droit à son salaire au-delà du 30 avril 2021, à tout le moins devait-il concevoir de sérieux doutes sur son droit à conserver les sommes qui lui avaient été versées au-delà de cette date. Il a ainsi astreint l’appelant à rembourser à l’intimé la somme de 18'589 fr. 80. 7.4 En l’espèce, pour autant qu’on comprenne l’appelant, celui-ci admet que son droit au salaire a bien pris fin le 30 avril 2021, mais prétend que son droit aux prestations de l’assureur n’aurait été épuisé que le 31 mai 2021. Ce faisant, l’appelant réclame le versement de son</w:t>
      </w:r>
    </w:p>
    <w:p>
      <w:r>
        <w:t>- 45 - salaire pour le mois de mai 2021 à l’intimé, sans établir que celui-ci n’aurait pas remboursé à l’assureur les indemnités perçues par erreur pour le mois de mai 2021 (cf. Let.C/ch.22c), en se référant notamment à cet égard aux pièces du dossier ou, le cas échéant, en requérant dites pièces auprès de l’intimé ou de l’assureur perte de gain (contrat d’assurance, preuve de paiement, etc.). Or, il n’appartient pas à la Cour de céans de rechercher parmi lesdites pièces où se trouverait cette information, ni d’instruire en ce sens, et d’établir à la place de l’appelant, si celui-ci avait encore droit aux prestations perte de gain après la fin du contrat de travail et, le cas échéant, à quel montant il aurait droit. On rappellera que le procès se présente différemment en deuxième instance, vu la décision déjà rendue. L'art. 311 al. 1 CPC impose ainsi au justiciable de motiver son appel, en s'efforçant d'établir que la décision attaquée est entachée d'erreurs, que ce soit au niveau des faits constatés et/ou des conclusions juridiques qui en sont tirées, ce que l’appelant n’a manifestement pas fait. Le grief étant insuffisamment motivé, il est irrecevable. Quant à la période subséquente, l’appelant admet, a contrario, que son droit tant au salaire qu’aux indemnités d’assurance perte de gain était épuisé. Il reproche cependant aux premiers juges d’avoir considéré que les conditions de l’art. 64 CO n’étaient pas remplies. Toutefois, l’appelant ne conteste pas qu’il n’aurait ni allégué ni prouvé en première instance qu’il n’était plus enrichi du montant réclamé par la partie adverse. Il se contente à cet égard de relever que les pièces produites dans le cadre de l’assistance judiciaire suffisaient à démontrer qu’il ne disposait plus du montant réclamé. Dites pièces n’ont manifestement pas été produites à l’appui de ses écritures de première instance. C’est le lieu de relever qu’au vu des conclusions prises par l’appelant en première instance, par 97'062 fr., la maxime des débats était manifestement applicable. Faute d’allégation en ce sens, le tribunal ne pouvait de toute manière pas rechercher lui-même ces éléments dans les pièces du dossier, ni a fortiori dans les pièces produites dans le cadre de la procédure d’assistance judiciaire à laquelle l’intimé n’est du reste</w:t>
      </w:r>
    </w:p>
    <w:p>
      <w:r>
        <w:t>- 46 - pas partie. Cette première condition de l’art. 64 CO faisant défaut, il n’est pas nécessaire d’examiner les autres critiques de l’appelant sur ce point. 8. 8.1 En définitive, l’appel, manifestement infondé, doit être rejeté, dans la mesure de sa recevabilité, selon l’art. 312 al. 1 in fine CPC et l’ordonnance attaquée confirmée. 8.2 La requête d’assistance judiciaire de l’appelant doit être rejetée, l’appel étant, pour les motifs qui précèdent (cf. supra consid. 3 à 7), d’emblée dénué de chance de succès (art. 117 let. b CPC). 8.3 Les frais judiciaires de deuxième instance, arrêtés à 985 fr. (art. 62 al. 1 et 67 al. 3 TFJC [tarif des frais judiciaires civils du 28 septembre 2010 ; BLV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