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PT20.049210 vom 3. März 2025</w:t>
      </w:r>
    </w:p>
    <w:p>
      <w:r>
        <w:t>VD Tribunal cantonal, 2025-03-03, FR</w:t>
      </w:r>
    </w:p>
    <w:p>
      <w:r>
        <w:rPr>
          <w:b/>
        </w:rPr>
        <w:t xml:space="preserve">Quelle: </w:t>
      </w:r>
      <w:r>
        <w:t>https://mcp.opencaselaw.ch/entscheid/vd_gerichte_PT20.049210</w:t>
      </w:r>
    </w:p>
    <w:p>
      <w:r>
        <w:t>FR: VD_GERICHTE PT20.049210 du 3 mars 2025</w:t>
      </w:r>
    </w:p>
    <w:p>
      <w:r>
        <w:t>IT: VD_GERICHTE PT20.049210 del 3 marzo 2025</w:t>
      </w:r>
    </w:p>
    <w:p>
      <w:pPr>
        <w:pStyle w:val="Heading2"/>
      </w:pPr>
      <w:r>
        <w:t>Erwägungen</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alii [éd.], Commentaire romand, Code de procédure civile [ci-après : CR-CPC], 2e éd., Bâle 2019, nn. 2 ss ad art. 310 CPC). Elle peut revoir librement l'appréciation des faits sur la base des preuves administrées en première instance (art. 157 CPC en relation avec l'art. 310 let. b CPC ; Jeandin, CR-CPC, n. 6 ad art. 310 CPC ; JdT 2011 III 43 et réf. cit.) et vérifie si le premier juge pouvait admettre les faits qu'il a retenus (ATF 138 III 374 consid. 4.3.1 ; TF 4A_238/2015 du 22 septembre 2015 consid. 2.2).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 CACI 10 juillet 2023/285 consid. 2.1).</w:t>
      </w:r>
    </w:p>
    <w:p>
      <w:r>
        <w:rPr>
          <w:b/>
        </w:rPr>
        <w:t>E. 2.1</w:t>
      </w:r>
    </w:p>
    <w:p>
      <w:r>
        <w:t>et 2.2 ; s’agissant des deux étapes, cf. TF 4A_461/2020 du 16 février 2021 consid. 4.1 et les références citées). S’il s’agit d’une gratification, il faut encore déterminer si les parties ont prévu un droit à la gratification ou non (TF 4A_280/2020 du 3 mars 2021 consid. 3). Le Tribunal fédéral distingue ainsi les trois cas suivants : le salaire – variable – (cas n° 1), la gratification à laquelle le travailleur a droit (cas n° 2) et la gratification à laquelle celui-ci n’a pas droit (cas n° 3) (TF 4A_280/2020 précité consid. 3). Ce n’est que lorsque le travailleur n’a pas de droit à la gratification (cas n° 3) que la question de la requalification du bonus en salaire, en vertu du principe de l’accessoriété, se pose, ce principe étant cependant inapplicable pour les très hauts revenus (TF 4A_280/2020 précité consid. 3 ; TF 4A_327/2019 du 1er mai 2020 consid. 3.1). La notion de très haut revenu concerne une rémunération totale équivalant ou dépassant cinq fois le salaire médian suisse (secteur privé) (ATF 141 III 407 consid. 5.4). Il convient de reprendre successivement les trois cas envisagés par la jurisprudence. a) Cas n° 1 (bonus comme élément du salaire) Le bonus doit être qualifié d’élément du salaire lorsque son montant est déterminé ou objectivement déterminable, c’est-à-dire qu’il a été promis par contrat dans son principe et que son montant est déterminé ou doit l’être sur la base de critères objectifs prédéterminés</w:t>
      </w:r>
    </w:p>
    <w:p>
      <w:r>
        <w:t>- 17 - comme le bénéfice, le chiffre d’affaires ou une participation au résultat de l’exploitation, et qu’il ne dépend pas de l’appréciation de l’employeur (ATF 141 III 407 consid. 4.2.1 ; ATF 136 III 313 consid. 2 ; TF 4A_280/2020 précité consid. 3). b) Cas n° 2 et 3 (bonus qualifié de gratification) On se trouve en présence d’une gratification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(ATF 141 III 407 consid. 4.2.2 ; ATF 139 III 155 consid. 3.1 ; TF 4A_280/2020 précité consid. 3). Dans l’arrêt TF 4A_378/2017 du 27 novembre 2017, le Tribunal fédéral a qualifié la part variable de gratification, alors que la clause prévoyait qu’au salaire s’ajoutait un « bonus » annuel de 10’000 fr. (prorata pour 2012) dont le versement était « conditionné aux objectifs fixés chaque année ». Notre Haute Cour a considéré que le versement de la part variable était conditionné à la réalisation d’objectifs que l’employeur devait fixer chaque année, en toute latitude. L’atteinte de ces objectifs ne faisait pas naître un salaire variable mais un droit au bonus pour l’employée (consid. 3.3). Dans l’arrêt TF 4A_169/2021 du 18 janvier 2022 (non publié in ATF 148 III 186), le Tribunal fédéral a également qualifié la rémunération de gratification sur la base d’une clause rédigée en anglais et indiquant ce qui suit : « Variable Pay : 20 % of annual base salary, pro rata temporis (Payment in March of the following year, based on achievement of the agreed business and individual objectives) ». Il s’agissait du cas où le principe d’un bonus avait été convenu, mais où l’employeur disposait d’un certain pouvoir d’appréciation pour en déterminer le montant (consid. 3). La doctrine est aussi d’avis que les gratifications peuvent être soumises à conditions, lesquelles pourront se rapporter à l’appréciation du</w:t>
      </w:r>
    </w:p>
    <w:p>
      <w:r>
        <w:t>- 18 - travail de l’employé ou l’atteinte de certains résultats ou buts, y compris de nature objective, par exemple en lien avec un certain chiffre d’affaires ou un nombre de ventes sur une période donnée (Raedler, Les différents types de rémunération du travailleur et les conditions pouvant les affecter, in : Panorama IV en droit du travail, Wyler [éd.], Berne 2023, p. 657). L’interprétation des manifestations de volonté relatives à l’octroi d’un bonus obéit aux principes habituels (cf. TF 4C.340/2005 du 24 janvier 2006 consid. 2.3 à 2.5). Le juge doit tout d’abord s’attacher à mettre à jour la réelle et commune intention des parties, opération qualifiée d’interprétation subjective, qui repose sur l’appréciation des preuves. Si cette opération n’aboutit pas, il doit établir le sens que chaque partie pouvait et devait de bonne foi donner aux manifestations de volonté de l’autre cocontractant ; cette interprétation dite objective relève du droit (ATF 142 III 239 consid. 5.2.1).</w:t>
      </w:r>
    </w:p>
    <w:p>
      <w:r>
        <w:rPr>
          <w:b/>
        </w:rPr>
        <w:t>E. 3</w:t>
      </w:r>
    </w:p>
    <w:p>
      <w:r>
        <w:t>- 16 -</w:t>
      </w:r>
    </w:p>
    <w:p>
      <w:r>
        <w:rPr>
          <w:b/>
        </w:rPr>
        <w:t>E. 3.1</w:t>
      </w:r>
    </w:p>
    <w:p>
      <w:r>
        <w:t>Dans un premier moyen, l’appelant invoque une violation des art. 322 et 322a CO, reprochant à la Chambre patrimoniale cantonale d’avoir retenu que l’élément de son salaire intitulé « prime variable » était une gratification et non un salaire variable et qu’il n’avait pas démontré que les objectifs ne lui avaient pas été communiqués.</w:t>
      </w:r>
    </w:p>
    <w:p>
      <w:r>
        <w:rPr>
          <w:b/>
        </w:rPr>
        <w:t>E. 3.2.1</w:t>
      </w:r>
    </w:p>
    <w:p>
      <w:r>
        <w:t>Le droit suisse ne contient aucune disposition qui traite spécifiquement du bonus (ATF 141 III 407 consid. 4.1). Dans chaque cas, il faut, dans une première étape, déterminer le contenu du contrat puis, dans une seconde étape, qualifier le bonus convenu d’élément du salaire (art. 322 s. CO) ou de gratification (art. 322d CO) (ATF 142 III 381 consid.</w:t>
      </w:r>
    </w:p>
    <w:p>
      <w:r>
        <w:rPr>
          <w:b/>
        </w:rPr>
        <w:t>E. 3.2.2</w:t>
      </w:r>
    </w:p>
    <w:p>
      <w:r>
        <w:t>Il y a un droit à la gratification (cas n° 2 précité) lorsque, par contrat, les parties sont tombées d’accord sur le principe du versement d’un bonus et n’en ont réservé que le montant (ATF 136 III 313 consid. 2 ; ATF 131 III 615 consid. 5.2 ; TF 4A_280/2020 précité consid. 3). De même, lorsqu’au cours des rapports contractuels, un bonus a été versé régulièrement sans réserve de son caractère facultatif pendant au moins trois années consécutives, il est admis qu’en vertu du principe de la confiance, un tel bonus est convenu par actes concluants (tacitement) (ATF 131 III 615 consid. 5.2 ; ATF 129 III 276 consid. 2 ; TF 4A_78/2018 du 10 octobre 2018 consid. 4.3.2.1), l’employeur jouissant alors d’une certaine liberté dans la fixation de son montant dans les cas où les montants étaient variables (TF 4A_280/2020 précité consid. 3). Lorsque le principe du bonus a été convenu, expressément ou tacitement, le travailleur n’a toutefois droit à une part proportionnelle de la gratification en cas d’extinction des rapports de travail avant l’occasion qui y donne lieu que s’il en a été convenu ainsi, ce qu’il lui incombe de prouver en vertu de l’art. 8 CC (art. 322d al. 2 CO ; TF 4A_280/2020 précité 3.2 ; TF 4A_78/2018 précité consid. 4.3.2.1). L’employeur peut par</w:t>
      </w:r>
    </w:p>
    <w:p>
      <w:r>
        <w:t>- 19 - ailleurs subordonner le paiement de la gratification à la réalisation de conditions, dans les limites de l’art. 27 al. 2 CC (TF 4A_158/2019 du 26 février 2020 consid. 4 ; TF 4A_219/2013 du 4 septembre 2013 consid. 3.1 ; TF 4C.426/2005 du 28 février 2006 consid. 5.1). Ainsi est-il admissible d’exiger que le travailleur soit effectivement employé dans l’entreprise à l’échéance de la gratification, ou encore de n’allouer aucune gratification à l’employé qui est encore au service de l’employeur au moment de l’occasion donnant lieu à la gratification, mais dont le rapport de travail a déjà été résilié (TF 4A_158/2019 précité consid. 4 ; TF 4A_513/2017 du 5 septembre 2018 consid. 5.1 ; TF 4A_26/2012 du 15 mai 2012 consid. 5.2.2). Par exemple, dans l’arrêt TF 4A_26/2012 précité, le Tribunal fédéral a retenu que l’employeur, qui avait annoncé dans chacun de ses courriers à l’employé que seuls les collaborateurs dont le contrat de travail n’était pas résilié au moment du paiement du bonus pouvaient en bénéficier, avait subordonné le droit à la gratification à la condition que les rapports de travail ne soient pas résiliés lorsque le paiement de celle-ci devait intervenir. Partant, le paiement du bonus 2008, qui devait intervenir au premier trimestre 2009, n’était pas dû en tant que l’employé avait déjà démissionné le 27 octobre 2008 (pour le tout : CACI 1er juillet 2024/296 consid. 5.2.2.3).</w:t>
      </w:r>
    </w:p>
    <w:p>
      <w:r>
        <w:rPr>
          <w:b/>
        </w:rPr>
        <w:t>E. 3.2.3</w:t>
      </w:r>
    </w:p>
    <w:p>
      <w:r>
        <w:t>Lorsque les parties ont réservé tant le principe que le montant de la gratification, il n’y a pas de droit à celle-ci (cas n° 3 précité); le bonus n’est pas convenu et l’employé n’y a pas droit, sous réserve de l’exception découlant du principe de l’accessoriété (TF 4A_280/2020 précité consid. 3.3). Lorsque le bonus a été versé d’année en année avec la réserve de son caractère facultatif, il n’y a en principe pas d’accord tacite et il s’agit d’une gratification qui n’est pas due (TF 4A_280/2020 précité consid. 3.3). Toutefois, il a été admis par exception que, en dépit de la réserve (sur le principe et sur le montant), un engagement tacite pouvait se déduire du paiement répété de la gratification pendant des décennies, lorsque l’employeur n’avait jamais fait usage de la réserve émise alors même qu’il aurait eu des motifs de l’invoquer au moment de verser le bonus, tels qu’une mauvaise marche des affaires ou de mauvaises prestations de certains collaborateurs ; il s’agit alors d’une gratification à laquelle</w:t>
      </w:r>
    </w:p>
    <w:p>
      <w:r>
        <w:t>- 20 - l’employé a droit (ATF 129 III 276 consid. 2.3 ; TF 4A_78/2018 précité consid. 4.3.2.2 ; pour le tout : CACI 1er juillet 2024/296 consid. 5.2.2.3). Lorsque l’employé n’a pas un droit contractuel au versement du bonus, il faut encore examiner si le bonus a un caractère accessoire par rapport au salaire de base. En effet, la gratification doit rester un élément accessoire du salaire de base et ne peut aller au-delà d’un certain pourcentage de ce salaire (ATF 141 III 407 consid. 4.3.2 ; ATF 139 III 155 consid. 5.3). Le besoin de protection du travailleur l’emporte alors sur la liberté contractuelle des parties (ATF 141 III 407 consid. 4.3.2). Le critère de l’accessoriété, en vertu duquel le bonus doit être requalifié en salaire, ne s’applique toutefois que pour les salaires modestes et les salaires moyens à supérieurs. Pour les très hauts revenus, le Tribunal fédéral a considéré que le principe de la liberté contractuelle devait primer, car il n’y a pas de besoin de protection du travailleur qui justifierait une requalification du bonus en salaire en vertu du principe de l’accessoriété (ATF 141 III 407 consid. 4.3.2 et 5.3.1). Dans ce cas, le bonus reste donc une gratification facultative à laquelle l’employé n’a pas droit (TF 4A_327/2019 précité consid. 3.2). Comme déjà indiqué, le salaire d’un employé doit être qualifié de très haut lorsque la totalité de la rémunération qu’il a effectivement perçue au cours d’une année donnée équivaut ou dépasse cinq fois le salaire médian suisse (secteur privé) (ATF 142 III 456 consid. 3.1 ; pour le tout : CACI 1er juillet 2024/296 consid. 5.2.2.3). Le caractère facultatif de la gratification peut enfin trouver ses limites dans le respect de l’égalité de traitement (cf. ATF 129 III 276 consid. 3.1 ; TF 4A_651/2017 du 4 avril 2018 consid. 3.3 et les arrêts cités). Le Tribunal fédéral déduit de l’art. 328 CO l’existence d’un principe général de l’égalité de traitement obligeant l’employeur à protéger la personnalité de l’employé (TF 4A_651/2017 précité consid. 3.3). Une décision subjective de l’employeur ne contrevient à l’interdiction de discriminer que dans la mesure où elle exprime une dépréciation de la personnalité du travailleur et lui porte ainsi atteinte. Une telle situation n’est réalisée que si l’employé est placé dans une situation clairement</w:t>
      </w:r>
    </w:p>
    <w:p>
      <w:r>
        <w:t>- 21 - moins avantageuse qu’un grand nombre d’autres employés, mais non lorsque l’employeur favorise simplement quelques employés (ATF 129 III 276 consid. 3.1 ; TF 4A_651/2017 précité consid. 3.3 et les références citées ; pour le tout : CACI 1er juillet 2024/296 consid. 5.2.2.3).</w:t>
      </w:r>
    </w:p>
    <w:p>
      <w:r>
        <w:rPr>
          <w:b/>
        </w:rPr>
        <w:t>E. 3.3</w:t>
      </w:r>
    </w:p>
    <w:p>
      <w:r>
        <w:t>Lorsqu'une condition est convenue et que son accomplissement dépend, dans une certaine mesure, de la volonté d'une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 en cas de violation de ces exigences, la condition est censée accomplie selon l'art. 156 CO. Le degré de liberté subsistant pour la partie concernée, d'une part, et les devoirs à elle imposés par les règles de la bonne foi, d'autre part, sont déterminés dans chaque cas d'espèce en fonction de l'ensemble des circonstances, notamment de l'objet et du but du contrat (TF 4A_705/2011 du 20 décembre 2011 consid. 5 et les références citées). Lorsque le paiement du bonus est conditionné à l'appréciation positive de la performance personnelle du travailleur et que la réalisation de cette condition est discutée, il n'appartient pas au juge de s'immiscer dans la conduite de l'entreprise et d'évaluer lui-même la performance du travailleur prétendant au bonus. Cette évaluation est réservée à l'employeur. Celui-ci doit néanmoins se conformer aux règles de la bonne foi. Par exemple, il ne saurait adopter une attitude contradictoire (cf. ATF 136 III 190 consid. 2 p. 192) et arguer d'une performance prétendument déficiente pour refuser le bonus, alors qu'il aurait précédemment exprimé sa complète satisfaction. L'employeur ne saurait non plus porter une appréciation négative seulement parce que les rapports de travail ont entre-temps pris fin et qu'il n'a plus aucun intérêt à récompenser le travailleur (TF 4A_378/2017 précité consid. 3.4.1 ; TF 4A_705/2011 précité consid. 5). Enfin, le fait que l'employeuse se soit abstenue de lui fixer chaque année des objectifs particuliers alors que le versement du bonus était conditionné à de tels objectifs ne signifie pas qu'elle aurait renoncé par actes concluants à subordonner le paiement de cette rétribution à</w:t>
      </w:r>
    </w:p>
    <w:p>
      <w:r>
        <w:t>- 22 - toute condition y compris celle, élémentaire, de la bonne et fidèle exécution des tâches correspondant au cahier des charges de l'employée (TF 4A_378/2017 précité consid. 3.4.4).</w:t>
      </w:r>
    </w:p>
    <w:p>
      <w:r>
        <w:rPr>
          <w:b/>
        </w:rPr>
        <w:t>E. 3.4.1</w:t>
      </w:r>
    </w:p>
    <w:p>
      <w:r>
        <w:t>L’appelant expose tout d’abord que le témoin X.________ avait toutes les raisons de témoigner en faveur de l’intimée, contrairement à ce que les premiers juges ont retenu. Puis, il estime que ces derniers se seraient contredits en retenant qu’une partie des objectifs financiers de l’appelant était liée aux résultats financiers de l’intimée, mais que l’appréciation et fixation des objectifs dépendait aussi de celle-ci. Il soutient que la part d’une rémunération qui dépend d’objectifs, soit des systèmes de rémunération variables, ne constituerait pas une rémunération, mais un salaire. Or, selon l’offre contenue dans le courriel du 26 septembre 2018, le salaire variable correspondait à 30% du salaire fixe annuel et les objectifs devaient être définis par les parties. En l’occurrence, les griefs de l’appelant sont infondés. Les parties sont d’accord sur le fait que la part de l’appelant dépendait d’objectifs. Toutefois, ces objectifs financiers ne dépendaient pas directement des résultats de l’intimée – comme ils auraient pu l’être par un pourcentage du chiffre d’affaires –, mais l’intimée devait chaque année fixer les objectifs puis déterminer à la fin de chaque année si les résultats, fixés selon l’appréciation de l’intimée, étaient atteints. Il appartenait ainsi bien à l’intimée de décider si les objectifs fixés par elle avaient été atteints, ce que l’appelant ne conteste en réalité pas. On se trouve ainsi bien – quoi que l’appelant en dise et comme l’ont retenu les premiers juges – dans un cas de « gratification à laquelle le travailleur a droit » si des objectifs sont atteints. On se trouve ainsi exactement dans l’hypothèse où le versement du bonus est conditionné à la réalisation d’objectifs fixés par l’employeur, qui a la tâche et la latitude de fixer ces objectifs chaque année, de juger s’ils sont atteints et de verser le bonus si les prestations fournies par l’employé sont appréciées positivement (cf. consid. 3.2.1 supra [cas no 2]).</w:t>
      </w:r>
    </w:p>
    <w:p>
      <w:r>
        <w:t>- 23 - Pour le reste, s’agissant de la crédibilité du témoin X.________, les premiers juges ont précisément exposé les raisons pour lesquelles le témoignage était parfaitement crédible, à savoir qu’il n’avait plus de lien avec l’intimée et n’avait donc plus d’intérêt dans la procédure, qu’il n’avait pas d’inimitié particulière avec l’appelant, que son témoignage était précis, crédible et concordait avec celui d’A.________, que bien qu’il aurait aidé à la rédaction des écritures de l’intimée en répondant aux questions de son conseil, ses déclarations étaient nuancées et détaillées et ne confirmaient pas en bloc les allégations de celle-ci. L’appelant ne renverse aucunement cette appréciation. Par ailleurs, l’appelant ne se prononce pas sur le fait qu’il devait également remplir des critères « personnels », donc purement subjectifs, pour avoir droit à cette prime, comme l’ont relevé les premiers juges. Au surplus, on peut encore relever que même si on devait suivre l’argumentation de l’appelant et retenir qu’il s’agissait de critères financiers « objectivement déterminables », il ne démontre aucunement qu’il aurait atteint les objectifs dont il se prévaut.</w:t>
      </w:r>
    </w:p>
    <w:p>
      <w:r>
        <w:rPr>
          <w:b/>
        </w:rPr>
        <w:t>E. 3.4.2</w:t>
      </w:r>
    </w:p>
    <w:p>
      <w:r>
        <w:t>L’appelant conteste également l’appréciation de la Chambre patrimoniale cantonale selon laquelle il connaissait les objectifs à atteindre. Il relève que ni les objectifs en question, ni leur évaluation n’ont été mis par écrit. Il reprend à cet égard divers passages du témoignage de X.________, qui expose en substance que l’appelant connaissait parfaitement les objectifs, mais que certes pour 2019 il n’y avait rien eu de formalisé. L’appelant expose qu’il n’existe aucun document faisant état de ses objectifs à atteindre et que l’intimée n’en a produit aucun, malgré la requête de production de pièces qu’il avait formulée sur ce point. Ainsi, l’intimée devait être tenue responsable de ce « flou », de sorte que la part variable de son salaire devait lui être versée.</w:t>
      </w:r>
    </w:p>
    <w:p>
      <w:r>
        <w:t>- 24 - Les premiers juges ont retenu en particulier qu’il ressortait de l’instruction que l’appelant connaissait les objectifs à atteindre, nonobstant le fait qu’ils n’avaient pas été communiqués formellement sur un document à signer. Par ailleurs, il ressortait des témoignages et des comptes rendus du comité de direction qu’A.________ devait envoyer les fiches – soit le document formalisant les objectifs – que les employés recevaient en principe chaque année. Or, ce document n’avait pas été transmis aux employés en 2019, mais cela ne signifiait toutefois pas que les objectifs étaient inconnus, a fortiori des membres du comité de direction qui avaient précisément pour tâche de les transmettre à leurs subordonnés. De plus, d’après les témoins, les objectifs financiers de l’intimée étaient communiqués aux cadres, qui devaient ensuite établir une stratégie pour les atteindre, chaque membre du comité devant préparer des objectifs précis. L’appelant participait chaque semaine à des réunions au cours desquelles les chiffres de l’intimée étaient discutés. Il était ainsi improbable que l’appelant, ou n’importe quel autre membre du comité, ait pu participer à toutes ces réunions sans avoir une connaissance des objectifs financiers globaux à atteindre. Le témoin X.________ avait encore rajouté que l’objectif lié à la performance était particulièrement suivi par les cadres qui savaient que leur bonus en dépendait. L’appelant ne parvient pas à démontrer – ni même à rendre plausible – qu’il ne savait rien de tout cela. Certes, il n’y a manifestement eu aucune communication formelle écrite, mais il n’y a aucune exigence de forme. Il faut ainsi retenir que ces questions ont été systématiquement discutées par oral, notamment au cours des séances hebdomadaires du comité, et qu’en sa qualité de membre de la direction, l’appelant ne peut se prévaloir de son ignorance au sujet des objectifs financiers de l’entreprise. Il convient encore d’ajouter que quand bien même on devait retenir que l’intimée s’est abstenue de lui fixer des objectifs particuliers</w:t>
      </w:r>
    </w:p>
    <w:p>
      <w:r>
        <w:t>- 25 - pour 2019 alors que le versement du bonus était conditionné à de tels objectifs, cela ne signifie pas qu'elle aurait renoncé par actes concluants à subordonner le paiement de cette rétribution à toute condition y compris celle, élémentaire, de la bonne et fidèle exécution des tâches correspondant au cahier des charges de l'employé (consid. 3.3 supra in fine). Or, l’appelant n’avait pas donné pleine et entière satisfaction et l’intimée n’avait d’ailleurs pas exprimé que cela avait été le cas, de sorte qu’on ne pouvait pas reprocher à cette dernière d’avoir adopté une attitude contradictoire en s’opposant, dans les circonstances précitées, au paiement du bonus. Partant, le grief est également infondé.</w:t>
      </w:r>
    </w:p>
    <w:p>
      <w:r>
        <w:rPr>
          <w:b/>
        </w:rPr>
        <w:t>E. 4.1</w:t>
      </w:r>
    </w:p>
    <w:p>
      <w:r>
        <w:t>Au vu de ce qui précède, l’appel doit être rejeté en application de l’art. 312 al. 1 in fine CPC et le jugement attaqué confirmé.</w:t>
      </w:r>
    </w:p>
    <w:p>
      <w:r>
        <w:rPr>
          <w:b/>
        </w:rPr>
        <w:t>E. 4.2</w:t>
      </w:r>
    </w:p>
    <w:p>
      <w:r>
        <w:t>Les frais judiciaires de deuxième instance, arrêtés à 812 fr. (art. 62 al. 1 TFJC [tarif des frais judiciaires civils du 28 septembre 2010 ; BLV 270.11.5]), seront mis à la charge de l’appelant qui succombe (art. 106 al. 1 CPC) et qui en a déjà fait l’avance.</w:t>
      </w:r>
    </w:p>
    <w:p>
      <w:r>
        <w:rPr>
          <w:b/>
        </w:rPr>
        <w:t>E. 4.3</w:t>
      </w:r>
    </w:p>
    <w:p>
      <w:r>
        <w:t>Il n’y a pas lieu d’allouer des dépens de deuxième instance, l’intimée n’ayant pas été invitée à procéder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