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PT20.035797 vom 6. Dezember 2021</w:t>
      </w:r>
    </w:p>
    <w:p>
      <w:r>
        <w:t>VD Tribunal cantonal, 2021-12-06, FR</w:t>
      </w:r>
    </w:p>
    <w:p>
      <w:r>
        <w:rPr>
          <w:b/>
        </w:rPr>
        <w:t xml:space="preserve">Quelle: </w:t>
      </w:r>
      <w:r>
        <w:t>https://mcp.opencaselaw.ch/entscheid/vd_gerichte_PT20.035797</w:t>
      </w:r>
    </w:p>
    <w:p>
      <w:r>
        <w:t>FR: VD_GERICHTE PT20.035797 du 6 décembre 2021</w:t>
      </w:r>
    </w:p>
    <w:p>
      <w:r>
        <w:t>IT: VD_GERICHTE PT20.035797 del 6 dicembre 2021</w:t>
      </w:r>
    </w:p>
    <w:p>
      <w:pPr>
        <w:pStyle w:val="Heading2"/>
      </w:pPr>
      <w:r>
        <w:t>Erwägungen</w:t>
      </w:r>
    </w:p>
    <w:p>
      <w:r>
        <w:rPr>
          <w:b/>
        </w:rPr>
        <w:t>E. 1</w:t>
      </w:r>
    </w:p>
    <w:p>
      <w:r>
        <w:t>Par jugement du 15 septembre 2021, le Président du Tribunal civil de l’arrondissement de la Broye et du Nord vaudois (ci-après : le président), saisi d’une réclamation pécuniaire dont la valeur litigieuse s’élève à 32'760 fr., a rejeté les conclusions prises par C.________ dans sa demande du 28 août 2020 (I), a arrêté les frais judiciaires à 8'066 fr., montant auquel s’ajoutait celui de l’émolument de la procédure de conciliation d’ores et déjà arrêté à 900 fr. (II), a mis les frais judiciaires, par 8'966 fr. au total, y compris les frais de la procédure de conciliation, à la charge de C.________, ceux-ci étant toutefois provisoirement laissés à la charge de l’Etat au titre de l’assistance judiciaire (III), a dit que C.________ devait verser à K.________, pour la raison individuelle « K.________ », la somme de 5'250 fr. à titre de dépens (IV), a arrêté l’indemnité d’office de l’avocat Paul-Arthur Treyvaud, conseil de C.________, à 5'968 fr. 45, débours et TVA compris (dossier AJ n° 20001486) (V) et a dit que la bénéficiaire de l’assistance judiciaire était, dans la mesure de l’art. 123 CPC, tenue au remboursement des frais judiciaires et de l’indemnité de son conseil d’office (VI).</w:t>
      </w:r>
    </w:p>
    <w:p>
      <w:r>
        <w:rPr>
          <w:b/>
        </w:rPr>
        <w:t>E. 2</w:t>
      </w:r>
    </w:p>
    <w:p>
      <w:r>
        <w:t>Par acte du 18 octobre 2021, C.________ (ci-après : l’appelante) a recouru contre ce jugement et a sollicité l’assistance d’un conseil d’office. Par courrier du 25 octobre 2021, l’appelante a « demandé à ce qu’une enquête soit ouverte contre » le président. Par courrier du 4 novembre 2021, l’appelante a réitéré sa requête tendant à la désignation d’un conseil d’office. K.________, pour la raison individuelle « K.________ » (ci-après : l’intimé) n’a pas été invité à se déterminer sur l’appel.</w:t>
      </w:r>
    </w:p>
    <w:p>
      <w:r>
        <w:t>- 3 -</w:t>
      </w:r>
    </w:p>
    <w:p>
      <w:r>
        <w:rPr>
          <w:b/>
        </w:rPr>
        <w:t>E. 3.1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3.2</w:t>
      </w:r>
    </w:p>
    <w:p>
      <w:r>
        <w:t>En l’espèce, le jugement a été notifié à l’appelante le 20 septembre 2021. Ainsi, déposé en temps utile par une partie qui a un intérêt digne de protection (art. 59 al. 2 let. a CPC) et portant sur une affaire patrimoniale dont la valeur litigieuse est supérieure à 10'000 fr., l’appel est, à cet égard, recevable. En revanche, les écritures des 25 octobre et 4 novembre 2021 sont tardives et, partant, irrecevables.</w:t>
      </w:r>
    </w:p>
    <w:p>
      <w:r>
        <w:rPr>
          <w:b/>
        </w:rPr>
        <w:t>E. 4.1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w:t>
      </w:r>
    </w:p>
    <w:p>
      <w:r>
        <w:t>- 4 - (TF 4A_218/2017 du 14 juillet 2017 consid. 3.1.2). A défaut de motivation suffisante, l’appel est irrecevable (TF 4A_610/2018 précité ; TF 5A_209/2014 du 2 septembre 2014 consid. 4.2.1 ; TF 4A_101/2014 du 26 juin 2014 consid. 3.3).</w:t>
      </w:r>
    </w:p>
    <w:p>
      <w:r>
        <w:rPr>
          <w:b/>
        </w:rPr>
        <w:t>E. 4.2</w:t>
      </w:r>
    </w:p>
    <w:p>
      <w:r>
        <w:t>En outre, à l’instar de l’acte introductif d’instance, l’acte d’appel doit contenir des conclusions au fond.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 23 janvier 2017 consid. 1.2). S’agissant de conclusions pécuniaires, l’appel doit en outre contenir des conclusions chiffrées (ATF 137 III 617 consid. 4 ; TF 5A_978/2018 du 15 avril 2019 consid. 1.2). Il ne saurait être remédié à des conclusions déficientes par la fixation d'un délai de l’art. 132 CPC, un tel vice n'étant pas d'ordre purement formel et affectant l'appel de façon irréparable (ATF 137 III 617 consid. 6.4, JdT 2014 Il 187 ; TF 4A_659/2011 du 7 décembre 2011 consid.</w:t>
      </w:r>
    </w:p>
    <w:p>
      <w:r>
        <w:rPr>
          <w:b/>
        </w:rPr>
        <w:t>E. 4.3</w:t>
      </w:r>
    </w:p>
    <w:p>
      <w:r>
        <w:t>En l’espèce, l’appelante expose divers griefs contre le président, respectivement contre son propre conseil de première instance, mais ne formule aucune critique contre le jugement ou le raisonnement du premier juge. Par conséquent, son écriture ne satisfait pas aux exigences de motivation suffisante au sens de l’art. 311 al. 1 CPC, même s’agissant d’une partie non assistée. Au demeurant, ses critiques toutes générales ne sont concrétisées par aucune conclusion. L’appelante ne précise pas ce qu’elle entend obtenir en appel et la lecture des arguments invoqués dans son acte ne permet pas de le déterminer. Ainsi, dépourvu non seulement de motivation, mais également de conclusions, l’appel est entaché d’un vice irréparable, dont la conséquence est l’irrecevabilité.</w:t>
      </w:r>
    </w:p>
    <w:p>
      <w:r>
        <w:rPr>
          <w:b/>
        </w:rPr>
        <w:t>E. 5</w:t>
      </w:r>
    </w:p>
    <w:p>
      <w:r>
        <w:t>in SJ 2012 I 31 ; Jeandin, CR-CPC, n. 5 ad art. 311 CPC ; CACI 25 février</w:t>
      </w:r>
    </w:p>
    <w:p>
      <w:r>
        <w:t>- 5 - 2020/99 consid. 2.2). Exceptionnellement, il doit être entré en matière sur des conclusions formellement déficientes, lorsque l’on comprend à la lecture de la motivation ce que demande l’appelant, respectivement à quel montant il prétend. Les conclusions doivent en effet être interprétées à la lumière de la motivation de l’appel (ATF 137 III 617 consid. 6.2, JdT 2014 II 187 ; TF 5A_164/2019 du 20 mai 2020 consid. 4.3, non publié à l’ATF 146 III 203 ; TF 5A_165/2016 du 11 octobre 2016 consid. 3.4.2 ; TF 5A_929/2015 du 17 juin 2016 consid. 3.2).</w:t>
      </w:r>
    </w:p>
    <w:p>
      <w:r>
        <w:rPr>
          <w:b/>
        </w:rPr>
        <w:t>E. 5.1</w:t>
      </w:r>
    </w:p>
    <w:p>
      <w:r>
        <w:t>Compte tenu de ce qui précède, l’appel doit être déclaré irrecevable conformément à l’art. 312 al. 1 in fine CPC.</w:t>
      </w:r>
    </w:p>
    <w:p>
      <w:r>
        <w:rPr>
          <w:b/>
        </w:rPr>
        <w:t>E. 5.2</w:t>
      </w:r>
    </w:p>
    <w:p>
      <w:r>
        <w:t>Dès lors que l’appel était d’emblée dépourvu de chances de succès, la requête d’assistance judiciaire présentée par l’appelante doit être rejetée (art. 117 let. b CPC).</w:t>
      </w:r>
    </w:p>
    <w:p>
      <w:r>
        <w:rPr>
          <w:b/>
        </w:rPr>
        <w:t>E. 5.3</w:t>
      </w:r>
    </w:p>
    <w:p>
      <w:r>
        <w:t>La requête de l’appelante tendant à ce qu’une « enquête soit ouverte contre » le président, valant éventuellement demande de récusation du premier juge, sera transmise au Tribunal d’arrondissement</w:t>
      </w:r>
    </w:p>
    <w:p>
      <w:r>
        <w:t>- 6 - (art. 8 a al. 1 CDPJ [Code de droit privé judiciaire vaudois du 12 janvier 2010 ; BLV 211.02]) pour toute suite utile, en tant qu’elle comporterait encore un objet (cf. art. 51 CPC).</w:t>
      </w:r>
    </w:p>
    <w:p>
      <w:r>
        <w:rPr>
          <w:b/>
        </w:rPr>
        <w:t>E. 5.4</w:t>
      </w:r>
    </w:p>
    <w:p>
      <w:r>
        <w:t>Le présent arrêt peut être rendu sans frais judiciaires de deuxième instance (art. 11 TFJC [tarif des frais judiciaires civils du 28 septembre 2010 ; BLV 270.11.5]). Il n’y a pas lieu à allocation de dépens, l’intimé n’ayant pas été invité à se déterminer sur l’appel.</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