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PT20.014823 vom 23. Dezember 2024</w:t>
      </w:r>
    </w:p>
    <w:p>
      <w:r>
        <w:t>VD Tribunal cantonal, 2024-12-23, FR</w:t>
      </w:r>
    </w:p>
    <w:p>
      <w:r>
        <w:rPr>
          <w:b/>
        </w:rPr>
        <w:t xml:space="preserve">Quelle: </w:t>
      </w:r>
      <w:r>
        <w:t>https://mcp.opencaselaw.ch/entscheid/vd_gerichte_PT20.014823</w:t>
      </w:r>
    </w:p>
    <w:p>
      <w:r>
        <w:t>FR: VD_GERICHTE PT20.014823 du 23 décembre 2024</w:t>
      </w:r>
    </w:p>
    <w:p>
      <w:r>
        <w:t>IT: VD_GERICHTE PT20.014823 del 23 dicembre 2024</w:t>
      </w:r>
    </w:p>
    <w:p>
      <w:pPr>
        <w:pStyle w:val="Heading2"/>
      </w:pPr>
      <w:r>
        <w:t>Erwägungen</w:t>
      </w:r>
    </w:p>
    <w:p>
      <w:r>
        <w:rPr>
          <w:b/>
        </w:rPr>
        <w:t>E. 4.1</w:t>
      </w:r>
    </w:p>
    <w:p>
      <w:r>
        <w:t>L'appelant conteste la validité de la clause de prohibition de concurrence, au motif que, dans le domaine de la construction, la Fédération vaudoise des entrepreneurs tient à jour une liste complète des entreprises actives dans ce domaine, liste qui est à la libre disposition de tout un chacun.</w:t>
      </w:r>
    </w:p>
    <w:p>
      <w:r>
        <w:rPr>
          <w:b/>
        </w:rPr>
        <w:t>E. 4.2</w:t>
      </w:r>
    </w:p>
    <w:p>
      <w:r>
        <w:t>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D'après la jurisprudence (ATF 138 III 67 consid. 2.2.1 ; TF 4A_205/2021 du 20 décembre 2021 consid. 4.2),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w:t>
      </w:r>
    </w:p>
    <w:p>
      <w:r>
        <w:t>- 19 - concurrence, contre le risque que le travailleur détourne à son profit les efforts de prospection effectués par le premier ou pour le compte du premier.</w:t>
      </w:r>
    </w:p>
    <w:p>
      <w:r>
        <w:rPr>
          <w:b/>
        </w:rPr>
        <w:t>E. 4.3</w:t>
      </w:r>
    </w:p>
    <w:p>
      <w:r>
        <w:t>Certes, la Fédération vaudoise des entrepreneurs tient une liste des prestataires qualifiées, dénommée Annuaire vaudois de la Construction, recensant 2'800 entreprises du canton, à libre disposition. La recherche peut être effectuée par région et/ou par métier, le canton recensant 644 entreprises actives dans le génie civil et la maçonnerie. Reste que l'existence de cette liste n'est pas de nature à invalider la clause de prohibition de concurrence litigieuse. En effet, l'appelant avait pour mission de vendre un maximum d'heures aux clients de l'intimée, soit en s'adressant aux entreprises qui collaboraient déjà avec cette dernière, soit en trouvant de nouveaux clients. Pour ce faire, il devait entrer en contact avec les clients et disposait par conséquent de certaines informations les concernant, informations qui n'étaient pas contenues dans la liste de la Fédération vaudoise. Ainsi, il a pu tisser des relations commerciales avec des personnes précises ayant des postes importants au sein des entreprises clientes. Il a notamment eu des relations privilégiées avec L.________, qui travaille dans les ressources humaines de Z.________ SA ainsi qu'avec P.________, responsable logistique auprès de cette même société. Il a également eu des contacts avec Q.________, administratrice de S.________ SA. Il s'agit là de contacts privilégiés, l'appelant sachant rapidement et précisément à quelles personnes s'adresser. Le grief doit par conséquent être rejeté. Pour le reste, les autres conditions de validité de la clause de prohibition de concurrence ne sont, à juste titre, pas contestées et on peut se référer à ce sujet à ce qui figure dans le jugement de première instance.</w:t>
      </w:r>
    </w:p>
    <w:p>
      <w:r>
        <w:rPr>
          <w:b/>
        </w:rPr>
        <w:t>E. 5.1</w:t>
      </w:r>
    </w:p>
    <w:p>
      <w:r>
        <w:t>L'appelant invoque un motif justifié imputable à l'employeur au sens de l'art. 340c al. 2 CO. Il relève, en bref, qu'il s'est retrouvé livré à</w:t>
      </w:r>
    </w:p>
    <w:p>
      <w:r>
        <w:t>- 20 - l'appréciation arbitraire de son employeur pour le versement des bonus et que l'engagement de N.________ en qualité de conseillère, dans le même secteur d'activité que lui et donc en concurrence directe avec lui, l'empêchait de percevoir un bonus, que ce soit pour l'exercice 2019 ou pour les années suivantes.</w:t>
      </w:r>
    </w:p>
    <w:p>
      <w:r>
        <w:rPr>
          <w:b/>
        </w:rPr>
        <w:t>E. 5.2.1</w:t>
      </w:r>
    </w:p>
    <w:p>
      <w:r>
        <w:t>Même valable, la clause de prohibition de concurrence devient caduque si l'employeur prive le salarié de son emploi sans motif justifié imputable à ce dernier ou s’il lui donne un motif justifié de démissionner (art. 340c al. 2 CO). La notion de « motif justifié » propre à cette disposition et celle de « justes motifs » figurant à l'art. 337c CO ne se recouvrent pas. Un motif peut raisonnablement justifier la résiliation au sens de l'art. 340c al. 2 CO, sans qu'il ne soit nécessairement suffisant pour fonder un renvoi ou un départ immédiat (ATF 130 III 353 consid. 2.2.1, JdT 2005 I 12 ; TF 4A_33/2011 du 21 mars 2011 consid. 4.2). Il importe de déterminer, dans chaque cas d'espèce, en fonction des faits retenus, si l'on est en présence d'un motif justifié (CACI 23 juin 2020/15 consid IV b.ab et la réf. cit.). Est considéré comme un motif justifié tout événement imputable à l'autre partie qui, selon des considérations commerciales raisonnables, peut donner une raison suffisante pour un licenciement, sans qu'il s'agisse nécessairement d'une violation contractuelle (ATF 130 III 353 précité consid. 2.2.1 ; TF 5A_89/2019 du 1er mai 2019 consid. 5.2.1). Constituent des motifs justifiés de licenciement, par exemple, des manquements notables du salarié : mauvaise exécution du travail, attitude répréhensible dans l'entreprise, etc. Sont des motifs justifiés de démission, par exemple, une modification substantielle des conditions de travail par l'employeur, une atmosphère difficilement supportable dans l'entreprise (ATF 102 Il 211 consid. 5 ; CACI 23 juin 2020/15 précité consid. IV b.ab et la réf. cit.). Il importe peu que la résiliation intervienne de manière ordinaire ou avec effet immédiat. Si l'une des parties résilie de manière ordinaire et que l'autre résilie ensuite de manière immédiate, on recherchera le motif déterminant au regard des intérêts en cause. Ainsi, lorsqu'un travailleur prépare une activité concurrente future et qu'il procède à une résiliation ordinaire, à la suite de</w:t>
      </w:r>
    </w:p>
    <w:p>
      <w:r>
        <w:t>- 21 - laquelle l'employeur procède à un licenciement immédiat injustifié, les préparatifs de la nouvelle activité qui auraient amené à une violation de la prohibition de faire concurrence constituent un motif justifié de résiliation par l'employeur, de sorte que la prohibition de concurrence est maintenue. En revanche, tout juste motif est en principe un motif justifié. En cas de responsabilité partagée s'agissant de la résiliation des rapports de travail, il faut évaluer si celle de l'employeur est ou non prépondérante. Lorsque tel est le cas, la clause de prohibition de concurrence devient caduque ; sinon, elle reste valable, même en cas de responsabilité égale des deux parties. Dans ce dernier cas, la portée de la clause et le montant de la peine conventionnelle doivent toutefois être réduits dans la mesure de la faute de l'employeur (CACI 23 juin 2020/15 précité consid. IV b.ab et la réf. cit.).</w:t>
      </w:r>
    </w:p>
    <w:p>
      <w:r>
        <w:rPr>
          <w:b/>
        </w:rPr>
        <w:t>E. 5.2.2</w:t>
      </w:r>
    </w:p>
    <w:p>
      <w:r>
        <w:t>Le droit suisse ne contient aucune disposition qui définisse et traite de façon spécifique du bonus. Déterminer s'il s'agit d'un élément du salaire (art. 322 s. CO) ou d'une gratification (art. 322d CO) revêt une grande importance, dès lors que le régime de la gratification est beaucoup plus flexible pour l'employeur que celui applicable aux éléments du salaire (ATF 141 III 407, consid. 4.1 ; TF 4A_158/2019 du 26 février 2020 consid. 4). Pour qualifier un bonus dans un cas d'espèce, il faut interpréter les manifestations de volonté des parties (cf. art. 1 CO). Il s'agit tout d'abord d'établir si le bonus est déterminé (respectivement déterminable) ou indéterminé (respectivement indéterminable). Si le bonus est déterminé ou objectivement déterminable (ce qui est le cas lorsque la rémunération ne dépend plus de l'appréciation de l'employeur), l'employé dispose d'une prétention à ce bonus (ATF 141 III 407 précité consid. 4.2 et 4.2.1). Dans cette hypothèse, l'employeur doit tenir son engagement consistant à verser à l'employé la rémunération convenue (élément essentiel du contrat de travail) et le bonus doit être considéré comme un élément (variable) du salaire (ATF 141 III 407 précité consid. 4.2.1 ; ATF 139 III 155 consid. 3.1 et 3.3). Si le bonus n'est pas déterminé ou objectivement déterminable, l'employé ne dispose en règle générale d'aucune prétention : la rémunération dépend du bon vouloir de</w:t>
      </w:r>
    </w:p>
    <w:p>
      <w:r>
        <w:t>- 22 - l'employeur et le bonus est qualifié de gratification (ATF 141 III 407 précité consid. 4.2.2). Lorsque le bonus n'est pas déterminé ou objectivement déterminable, la jurisprudence a opéré des distinctions en fonction de l'importance du revenu de l'employé (par quoi il faut entendre la rémunération totale perçue de l'employeur durant l’année ; cf. ATF 141 III 407 précité consid. 4.3 et 5.3.1). En cas de revenus moyens et supérieurs, le Tribunal fédéral a estimé qu'un bonus très élevé en comparaison du salaire annuel, équivalent ou même supérieur à ce dernier, et versé régulièrement, doit être, par exception, considéré comme un salaire variable même si l'employeur en réservait le caractère facultatif. La gratification (art. 322d CO) doit en effet rester accessoire par rapport au salaire (art. 322 s. CO) ; elle ne peut avoir qu'une importance secondaire dans la rétribution du travailleur. En cas de revenus modestes, un bonus proportionnellement moins élevé peut déjà avoir le caractère d'un salaire variable (ATF 142 III 456 consid. 3.1 ; ATF 141 III 407 précité consid. 4.3.1 ; sur l'ensemble de la question : ATF 131 III 615 consid. 5.2 ; ATF 129 III 276 consid. 2.1).</w:t>
      </w:r>
    </w:p>
    <w:p>
      <w:r>
        <w:rPr>
          <w:b/>
        </w:rPr>
        <w:t>E. 5.3</w:t>
      </w:r>
    </w:p>
    <w:p>
      <w:r>
        <w:t>Le contrat de travail de l'appelant prévoyait un salaire annuel de 61'620 fr. brut, payable en 13 mensualités de 4'740 francs. Il ne contenait aucune disposition relative à un bonus, gratification ou un quelconque salaire variable. Toutefois, les employés de l'intimée recevaient des tableaux mensuels relatifs à la marche des affaires par collaborateur, dont ils pouvaient déduire où ils en étaient par rapport à un éventuel bonus, sans cependant connaître les règles de répartition par rapport à celui-ci, par exemple en ce qui concerne le montant de la marge brute. Ainsi, quand bien même le salaire de l'appelant n'était pas très élevé, les bonus n'étaient pas déterminés ni déterminables et dépendaient en réalité du bon vouloir de l'employeur. En l'espèce, on doit admettre des responsabilités partagées et égales s'agissant de la résiliation des rapports de travail, compte tenu des éléments qui suivent.</w:t>
      </w:r>
    </w:p>
    <w:p>
      <w:r>
        <w:t>- 23 - S'agissant de l'employé, on doit relever que son salaire était inférieur au salaire médian de la branche d'activité concernée et que l'appelant était par conséquent fortement intéressé à la perception de bonus, lequel pouvait représenter une partie conséquente de sa rémunération annuelle. En effet, l'appelant a perçu un bonus de près de 21'000 fr. pour l’année 2017, ce qui représentait un tiers de son salaire annuel. Or, à la fin de l’année 2018, l'intimée a engagé N.________ en qualité de conseillère pour le placement de personnel dans le même secteur d'activité que l'appelant. Il est évident que ce nouvel engagement ne pouvait avoir qu'une influence directe sur les résultats de l'appelant et ainsi le priver de toute perspective de bonus pour l'avenir, dès lors qu'on lui imposait ainsi une concurrence directe, dans un secteur d'activité, où selon les dires du directeur V.________, il n'y avait jamais eu de binôme. S'agissant de l'employeur, on doit constater qu'il pouvait être insatisfait de la baisse de performance de l'appelant au regard des chiffres réalisés par ce dernier en 2018 par rapport à 2017. Par ailleurs, par courriel du 13 novembre 2018 (cf. pièce n. 8), l'appelant a transmis son propre dossier et recommandé une collègue de la succursale de S.________ à C.________ SA, qui est une société dont le but est les prestations et services dans le cadre du secteur du personnel, avant tout le recrutement, la mise à disposition, l'obtention, contre rémunération, de personnel de toute profession. Cet envoi a été effectué avec l'adresse e-mail que l'intimée avait mise à disposition de l'appelant pour effectuer son activité professionnelle et contenait par ailleurs des critiques implicites sur l'agence de S.________ de l’intimée. Compte tenu des éléments précités, il se justifie de réduire la peine conventionnelle de moitié, celle-ci devant être arrêtée à 25'000 francs.</w:t>
      </w:r>
    </w:p>
    <w:p>
      <w:r>
        <w:rPr>
          <w:b/>
        </w:rPr>
        <w:t>E. 6</w:t>
      </w:r>
    </w:p>
    <w:p>
      <w:r>
        <w:t>- 24 -</w:t>
      </w:r>
    </w:p>
    <w:p>
      <w:r>
        <w:rPr>
          <w:b/>
        </w:rPr>
        <w:t>E. 6.1</w:t>
      </w:r>
    </w:p>
    <w:p>
      <w:r>
        <w:t>En définitive, l’appel doit être partiellement admis et le jugement attaqué réformé en ce sens que l’appelant est condamné à verser immédiatement à l’intimée la somme de 25'000 fr., avec intérêts à 5 % l’an dès le 1er janvier 2019.</w:t>
      </w:r>
    </w:p>
    <w:p>
      <w:r>
        <w:rPr>
          <w:b/>
        </w:rPr>
        <w:t>E. 6.2.1</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w:t>
      </w:r>
    </w:p>
    <w:p>
      <w:r>
        <w:rPr>
          <w:b/>
        </w:rPr>
        <w:t>E. 6.2.2</w:t>
      </w:r>
    </w:p>
    <w:p>
      <w:r>
        <w:t>Vu l’issue du litige, les frais judiciaires de première instance, arrêtés à 5'350 fr., et les frais de la procédure de conciliation, d’un montant de 450 fr., doivent être répartis par moitié entre les parties. Dans la mesure où l’intimée a versé 450 fr. pour la procédure de conciliation ainsi que 4’975 fr. d’avance de frais pour la procédure de première instance, l’appelant lui remboursera 225 fr. (450 fr. ÷ 2) au titre de frais de la procédure de conciliation et 2'300 fr. (5'350 fr. ÷ 2 – 375 fr. avancés par l’appelant le 3 décembre 2021 pour les frais de la procédure de première instance) au titre de l’avance des frais judiciaires qu’elle a versée. Les frais judiciaires de seconde instance, arrêtés à 2'400 fr., soit 1'500 fr. pour l’émolument d’appel (art. 62 al. 1 TFJC [tarif des frais judiciaires civils du 28 septembre 2010 ; BLV 270.11.5]) et 900 fr. pour les frais de décision sur requête de sûretés (art. 28 TFJC, applicable par analogie conformément à l'art. 7 TFJC ; Juge délégué CACI 6 juin 2023/546 consid. 6), doivent également être répartis par moitié entre les parties. L’intimée versera à l’appelant 300 fr. à titre de remboursement d’une partie de son avance de frais (1'500 fr. versé à titre d’avance de frais par l’appelant - 2'400 fr. ÷ 2).</w:t>
      </w:r>
    </w:p>
    <w:p>
      <w:r>
        <w:t>- 25 - Eu égard à la clé de répartition qui précède, les dépens pour la procédure de première instance, comme pour la procédure d’appel, sont compensés. Enfin, les sûretés déposées par l’appelant, à hauteur de 3'500 fr., lui seront restituées.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