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PT19.032341 vom 3. Februar 2023</w:t>
      </w:r>
    </w:p>
    <w:p>
      <w:r>
        <w:t>VD Tribunal cantonal, 2023-02-03, FR</w:t>
      </w:r>
    </w:p>
    <w:p>
      <w:r>
        <w:rPr>
          <w:b/>
        </w:rPr>
        <w:t xml:space="preserve">Quelle: </w:t>
      </w:r>
      <w:r>
        <w:t>https://mcp.opencaselaw.ch/entscheid/vd_gerichte_PT19.032341</w:t>
      </w:r>
    </w:p>
    <w:p>
      <w:r>
        <w:t>FR: VD_GERICHTE PT19.032341 du 3 février 2023</w:t>
      </w:r>
    </w:p>
    <w:p>
      <w:r>
        <w:t>IT: VD_GERICHTE PT19.032341 del 3 febbraio 2023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l’appel doit être rejeté et le jugement confirmé.</w:t>
      </w:r>
    </w:p>
    <w:p>
      <w:r>
        <w:rPr>
          <w:b/>
        </w:rPr>
        <w:t>E. 5.2.1</w:t>
      </w:r>
    </w:p>
    <w:p>
      <w:r>
        <w:t>Vu l’issue de la requête de sûretés, les frais judiciaires afférents à celle-ci, arrêtés à 400 fr. (art. 61 al. 4 TFJC [tarif des frais judiciaires civils du 28 septembre 2010 ; BLV 270.11.5] par analogie), sont mis à la charge de l’intimé, qui a succombé (art. 106 al. 1 CPC).</w:t>
      </w:r>
    </w:p>
    <w:p>
      <w:r>
        <w:t>- 21 - L’intimé devra en outre verser à l’appelante de pleins dépens, arrêtés à 200 fr. (art. 3 TDC [tarif des dépens en matière civile du 23 novembre 2010 ; BLV 270.11.6]).</w:t>
      </w:r>
    </w:p>
    <w:p>
      <w:r>
        <w:rPr>
          <w:b/>
        </w:rPr>
        <w:t>E. 5.2.2</w:t>
      </w:r>
    </w:p>
    <w:p>
      <w:r>
        <w:t>Compte tenu de l’issue de l’appel, les frais judiciaires afférents à celui-ci, arrêtés à 760 fr. (art. 62 al. 1 TFJC), seront mis à la charge de l’appelante (art. 106 al. 1 CPC). L’appelante devra en outre verser à l’intimé de pleins dépens de deuxième instance, arrêtés à 2’000 fr. (art. 3 et 7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