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PT19.027316 vom 22. Juni 2021</w:t>
      </w:r>
    </w:p>
    <w:p>
      <w:r>
        <w:t>VD Tribunal cantonal, 2021-06-22, FR</w:t>
      </w:r>
    </w:p>
    <w:p>
      <w:r>
        <w:rPr>
          <w:b/>
        </w:rPr>
        <w:t xml:space="preserve">Quelle: </w:t>
      </w:r>
      <w:r>
        <w:t>https://mcp.opencaselaw.ch/entscheid/vd_gerichte_PT19.027316</w:t>
      </w:r>
    </w:p>
    <w:p>
      <w:r>
        <w:t>FR: VD_GERICHTE PT19.027316 du 22 juin 2021</w:t>
      </w:r>
    </w:p>
    <w:p>
      <w:r>
        <w:t>IT: VD_GERICHTE PT19.027316 del 22 giugno 2021</w:t>
      </w:r>
    </w:p>
    <w:p>
      <w:pPr>
        <w:pStyle w:val="Heading2"/>
      </w:pPr>
      <w:r>
        <w:t>Erwägungen</w:t>
      </w:r>
    </w:p>
    <w:p>
      <w:r>
        <w:rPr>
          <w:b/>
        </w:rPr>
        <w:t>E. 3.1</w:t>
      </w:r>
    </w:p>
    <w:p>
      <w:r>
        <w:t>La recourante invoque que son droit d’être entendue aurait été violé, le juge délégué n’ayant pas motivé sa décision, ni mentionné de voies de droit. Elle soulève qu’alors qu’elle s’était opposée à la production des pièces requises par courrier du 15 mars 2021, le juge délégué n’avait fait aucune mention dudit courrier, de sorte qu’il était ignoré s’il en avait tenu compte en rendant la décision entreprise.</w:t>
      </w:r>
    </w:p>
    <w:p>
      <w:r>
        <w:rPr>
          <w:b/>
        </w:rPr>
        <w:t>E. 3.2</w:t>
      </w:r>
    </w:p>
    <w:p>
      <w:r>
        <w:t>La jurisprudence a déduit du droit d'être entendu garanti par l'art. 29 al. 2 Cst. (Constitution fédérale de la Confédération suisse du 18 avril 1999 ; RS 101), ainsi que de l'art. 53 CPC, l'obligation pour les autorités de motiver leurs décisions. Le droit d'être entendu, en tant que</w:t>
      </w:r>
    </w:p>
    <w:p>
      <w:r>
        <w:t>- 8 -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Lausanne 2018, n. 3.2.2 ad art. 239 CPC).</w:t>
      </w:r>
    </w:p>
    <w:p>
      <w:r>
        <w:rPr>
          <w:b/>
        </w:rPr>
        <w:t>E. 3.3</w:t>
      </w:r>
    </w:p>
    <w:p>
      <w:r>
        <w:t>En l’espèce, le juge délégué ne s’est pas déterminé au sujet de l’opposition formulée par la recourante dans son courrier du 15 mars 2021, se contentant de rendre la même décision que celle du 25 février 2021, assortie de sanctions. Le juge délégué n’a en particulier pas répondu aux griefs de la société requise et n’a pas procédé à une pesée</w:t>
      </w:r>
    </w:p>
    <w:p>
      <w:r>
        <w:t>- 9 - des intérêts en présence conformément à l’art. 156 CPC. Il lui reviendra par conséquent de le faire dans le cadre du présent renvoi, en examinant, le cas échéant, la manière la plus adaptée de préserver les intérêts d’A.________.</w:t>
      </w:r>
    </w:p>
    <w:p>
      <w:r>
        <w:rPr>
          <w:b/>
        </w:rPr>
        <w:t>E. 4.1</w:t>
      </w:r>
    </w:p>
    <w:p>
      <w:r>
        <w:t>En définitive, le recours doit être admis, l’ordonnance annulée et la cause renvoyée à l’autorité précédente pour qu’elle motive son ordonnance dans le sens des considérants qui précèdent. Ce renvoi étant dicté par une violation du droit d’être entendu, il ne se justifie pas d’inviter E.________ et O.________ à présenter des déterminations, la cause n’étant pas préjugée (TF 5A_910/2016 du 1er septembre 2017 consid. 4 ; TF 5A_736/2008 du 30 mars 2009 consid. 6 ; TF 5A_163/2008 du 27 mai 2008 consid. 5 ; CREC 28 mai 2021/159).</w:t>
      </w:r>
    </w:p>
    <w:p>
      <w:r>
        <w:rPr>
          <w:b/>
        </w:rPr>
        <w:t>E. 4.2</w:t>
      </w:r>
    </w:p>
    <w:p>
      <w:r>
        <w:t>Le présent arrêt sera rendu sans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prononce : I. Le recours est admis. II. L’ordonnance est annulée.</w:t>
      </w:r>
    </w:p>
    <w:p>
      <w:r>
        <w:t>- 10 - III. La cause est renvoyée au Juge délégué de la Chambre patrimoniale cantonale pour qu’il procède dans le sens des considérants. IV. L’arrêt, rendu sans frais judiciaires de deuxième instance, est exécutoire. Le président : La greffière : Du L'arrêt qui précède, dont la rédaction a été approuvée à huis clos, est notifié à : - A.________, - Me Nicolas Saviaux (pour E.________), - Me Véronique Perroud (pour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