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PT19.020974 vom 18. Dezember 2025</w:t>
      </w:r>
    </w:p>
    <w:p>
      <w:r>
        <w:t>VD Tribunal cantonal, 2025-12-18, FR</w:t>
      </w:r>
    </w:p>
    <w:p>
      <w:r>
        <w:rPr>
          <w:b/>
        </w:rPr>
        <w:t xml:space="preserve">Quelle: </w:t>
      </w:r>
      <w:r>
        <w:t>https://mcp.opencaselaw.ch/entscheid/vd_gerichte_PT19.020974</w:t>
      </w:r>
    </w:p>
    <w:p>
      <w:r>
        <w:t>FR: VD_GERICHTE PT19.020974 du 18 décembre 2025</w:t>
      </w:r>
    </w:p>
    <w:p>
      <w:r>
        <w:t>IT: VD_GERICHTE PT19.020974 del 18 dicembre 2025</w:t>
      </w:r>
    </w:p>
    <w:p>
      <w:pPr>
        <w:pStyle w:val="Heading2"/>
      </w:pPr>
      <w:r>
        <w:t>Erwägungen</w:t>
      </w:r>
    </w:p>
    <w:p>
      <w:r>
        <w:rPr>
          <w:b/>
        </w:rPr>
        <w:t>E. 7</w:t>
      </w:r>
    </w:p>
    <w:p>
      <w:r>
        <w:t>L'appelant revient sur sa prétention en indemnisation de vacances non prises, relevant que l'expert a souligné qu'il ne connaissait pas son éventuel solde de vacances au 1er janvier 2017. Il estime que c’est le refus de collaborer de l'intimée qui a conduit à ce résultat, ce dont la Chambre patrimoniale aurait, selon lui, dû tenir compte. L'appelant ne conteste en réalité pas qu'il a pris plus de vacances en 2017 que les vingt jours contractuellement prévus et que le solde négatif 2017 – huit jours – couvrait son droit en vacances pour l’année 2018, selon les calculs opérés par la Chambre patrimoniale. On comprend en revanche qu'il soutient que faute pour la Chambre patrimoniale de connaître son solde de vacances au 1er janvier 2017, on ne pouvait retenir un solde de vacances négatif en 2017. L'appelant qui réclame une indemnité pour ses vacances aurait dû alléguer et établir, conformément à l'art. 8 CC, qu'il avait encore un droit aux vacances pour 2016, ce afin de compenser les vacances trop importantes prises en 2017. Il n'expose pas dans son appel avoir fait l'un ou l'autre. Dans ces conditions, on ne voit pas comment on pourrait reprocher à l'intimée un défaut de collaboration, l’appelant l'invoquant sans aucun détail. Le grief est infondé.</w:t>
      </w:r>
    </w:p>
    <w:p>
      <w:r>
        <w:rPr>
          <w:b/>
        </w:rPr>
        <w:t>E. 8</w:t>
      </w:r>
    </w:p>
    <w:p>
      <w:r>
        <w:t>L'appelant reproche à la Chambre patrimoniale de ne pas avoir condamné l'intimée à lui rembourser des frais de téléphonie. Comme pour la question de ses vacances, il estime que la Chambre patrimoniale lui aurait fait supporter le fardeau de ce qu’il estime être un défaut de collaboration de l’intimée, celle-ci n’ayant pas, selon lui, produit les pièces en sa possession censées démontrer le total de ces frais.</w:t>
      </w:r>
    </w:p>
    <w:p>
      <w:r>
        <w:t>- 50 - L'appelant s'égare. Le remboursement de ces frais impliquait qu’il les ait en premier lieu assumés, de sorte qu’il avait connaissance des factures qu'il aurait payées. Dans ces conditions, on ne saurait reprocher à l'intimée de n'avoir pas produit des pièces et retenir de ce fait la prétention de 1'407 fr. invoquée par l’appelant comme fondée. Il lui incombait au contraire en premier lieu d'établir les montants qu'il aurait assumés, en obtenant une copie des factures auprès de son opérateur de téléphone. Or il ne l'a pas fait, ce qui exclut tout remboursement par l'intimée. Le grief est infondé.</w:t>
      </w:r>
    </w:p>
    <w:p>
      <w:r>
        <w:rPr>
          <w:b/>
        </w:rPr>
        <w:t>E. 9.1</w:t>
      </w:r>
    </w:p>
    <w:p>
      <w:r>
        <w:t>Vu ce qui précède, l'appel, manifestement mal fondé, doit être rejeté selon le mode procédural de l'art. 312 al. 1 in fine CPC, et le jugement attaqué confirmé.</w:t>
      </w:r>
    </w:p>
    <w:p>
      <w:r>
        <w:rPr>
          <w:b/>
        </w:rPr>
        <w:t>E. 9.2</w:t>
      </w:r>
    </w:p>
    <w:p>
      <w:r>
        <w:t>Les frais judiciaires de deuxième instance, arrêtés à 2'113 fr., seront mis à la charge de l’appelant qui succombe (art. 106 al. 1 CPC) et qui en a déjà fait l'avance.</w:t>
      </w:r>
    </w:p>
    <w:p>
      <w:r>
        <w:rPr>
          <w:b/>
        </w:rPr>
        <w:t>E. 9.3</w:t>
      </w:r>
    </w:p>
    <w:p>
      <w:r>
        <w:t>Il n'y a pas lieu d'allouer des dépens de deuxième instance à l'intimée, celle-ci n'ayant pas été invitée à procéder.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