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PT19.017305 vom 27. Februar 2024</w:t>
      </w:r>
    </w:p>
    <w:p>
      <w:r>
        <w:t>VD Tribunal cantonal, 2024-02-27, FR</w:t>
      </w:r>
    </w:p>
    <w:p>
      <w:r>
        <w:rPr>
          <w:b/>
        </w:rPr>
        <w:t xml:space="preserve">Quelle: </w:t>
      </w:r>
      <w:r>
        <w:t>https://mcp.opencaselaw.ch/entscheid/vd_gerichte_PT19.017305</w:t>
      </w:r>
    </w:p>
    <w:p>
      <w:r>
        <w:t>FR: VD_GERICHTE PT19.017305 du 27 février 2024</w:t>
      </w:r>
    </w:p>
    <w:p>
      <w:r>
        <w:t>IT: VD_GERICHTE PT19.017305 del 27 febbraio 2024</w:t>
      </w:r>
    </w:p>
    <w:p>
      <w:pPr>
        <w:pStyle w:val="Heading2"/>
      </w:pPr>
      <w:r>
        <w:t>Erwägungen</w:t>
      </w:r>
    </w:p>
    <w:p>
      <w:r>
        <w:rPr>
          <w:b/>
        </w:rPr>
        <w:t>E. 1</w:t>
      </w:r>
    </w:p>
    <w:p>
      <w:r>
        <w:t>Le 7 juin 2018, A.________ a déposé une demande d'assistance judiciaire auprès de la Juge déléguée de la Chambre patrimoniale cantonale, dans la cause en réclamation pécuniaire l'opposant à X.________. Par prononcé du 25 juin 2018, la juge déléguée a accordé à A.________ le bénéfice de l'assistance judiciaire avec effet au 14 mai 2018, comprenant l’exonération d'avances et des frais judiciaires, ainsi que l’assistance d'un conseil d'office en la personne de Me W.________. Par prononcé du 3 décembre 2018, la juge déléguée a relevé Me W.________ de sa mission de conseil d'office d'A.________ et a désigné en remplacement Me S.________ à compter du 4 juillet 2018.</w:t>
      </w:r>
    </w:p>
    <w:p>
      <w:r>
        <w:rPr>
          <w:b/>
        </w:rPr>
        <w:t>E. 1.1</w:t>
      </w:r>
    </w:p>
    <w:p>
      <w:r>
        <w:t>La décision arrêtant la rémunération du conseil d’office au sens de l’art. 122 al. 1 let. a CPC est une décision sur frais qui ne peut être attaquée séparément que par un recours selon l’art. 110 CPC (Tappy, Commentaire romand, Code de procédure civile [ci-après : le CR-CPC], 2e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également rendue en procédure sommaire (CREC 18 octobre 2023/206 consid. 1.1 ; CREC 3 avril 2023/71 consid. 1.1).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 5D_7/2019 du 5 août 2019 consid. 1.3 non publié in ATF 145 III 433 ; CREC 22 février 2023/42 consid. 1.1 ; Tappy, op. cit., n. 22 ad art. 122 CPC).</w:t>
      </w:r>
    </w:p>
    <w:p>
      <w:r>
        <w:t>- 6 -</w:t>
      </w:r>
    </w:p>
    <w:p>
      <w:r>
        <w:rPr>
          <w:b/>
        </w:rPr>
        <w:t>E. 1.2</w:t>
      </w:r>
    </w:p>
    <w:p>
      <w:r>
        <w:t>En l’espèce, formé en temps utile par une personne disposant d'un intérêt digne de protection (art. 59 al. 2 let. a CPC), le recours, écrit et motivé (art. 321 al. 1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w:t>
      </w:r>
    </w:p>
    <w:p>
      <w:r>
        <w:rPr>
          <w:b/>
        </w:rPr>
        <w:t>E. 2</w:t>
      </w:r>
    </w:p>
    <w:p>
      <w:r>
        <w:t>Le 8 avril 2019, A.________ a introduit une demande en remboursement d’un prêt auprès de la Chambre patrimoniale cantonale. Le 13 juillet 2020, X.________ a déposé une réponse et demande reconventionnelle. Le 7 décembre 2020, A.________ a déposé une réplique et réponse sur demande reconventionnelle. Le 19 mai 2021, X.________ a dupliqué. Le 3 novembre suivant, il a déposé une requête de nova. Le 10 décembre 2021, A.________ s’est déterminée sur la requête de nova et, en date du 16 février 2022, a déposé une requête de preuve à futur. La juge déléguée a rendu une ordonnance de preuve à futur le 22 février 2022, ainsi qu’une ordonnance sur nova en date du 2 juin 2022. Le 31 août 2022, A.________ s’est déterminée.</w:t>
      </w:r>
    </w:p>
    <w:p>
      <w:r>
        <w:t>- 5 - X.________ en a fait de même le 9 mars 2023.</w:t>
      </w:r>
    </w:p>
    <w:p>
      <w:r>
        <w:rPr>
          <w:b/>
        </w:rPr>
        <w:t>E. 3</w:t>
      </w:r>
    </w:p>
    <w:p>
      <w:r>
        <w:t>Les conclusions, les allégations de faits et les preuves nouvelles sont irrecevables en procédure de recours (art. 326 al. 1 CPC). En l’occurrence, le recourant a produit sa liste des opérations du 5 décembre 2023, laquelle a été portée au dossier de première instance, de sorte qu’elle est recevable en deuxième instance. Il a en sus produit une dizaine de pièces, lesquelles n’exercent toutefois aucune influence sur la question de la violation du droit d’être entendu et ainsi sur l’issue du litige, tel que cela sera développé ci-dessous (cf. consid. 4ss infra). Il n’est dès lors pas nécessaire de déterminer précisément lesquelles de ces pièces seraient recevables devant la Chambre de céans.</w:t>
      </w:r>
    </w:p>
    <w:p>
      <w:r>
        <w:t>- 7 -</w:t>
      </w:r>
    </w:p>
    <w:p>
      <w:r>
        <w:rPr>
          <w:b/>
        </w:rPr>
        <w:t>E. 4.1</w:t>
      </w:r>
    </w:p>
    <w:p>
      <w:r>
        <w:t>Dans un moyen formel, qu’il convient d’examiner à titre liminaire, le recourant fait valoir que la juge déléguée aurait justifié la réduction de 9 heures d'activité d'avocat et de 38 heures d'activité de l'avocat-stagiaire en se référant au principe ex aequo et bono, sans que cette motivation ne lui permette de comprendre comment l'autorité de première instance est arrivée à ce résultat.</w:t>
      </w:r>
    </w:p>
    <w:p>
      <w:r>
        <w:rPr>
          <w:b/>
        </w:rPr>
        <w:t>E. 4.2</w:t>
      </w:r>
    </w:p>
    <w:p>
      <w:r>
        <w:t>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ATF 135 I 187 consid. 2.2 ; TF 4D_76/2020 du 2 juin 2021 consid. 4.2, non publié in ATF 147 III 440). Le droit d'être entendu garanti par l'art. 29 al. 2 Cst. (Constitution fédérale de la Confédération suisse du 18 avril 1999 ; RS 101) – concrétisé à l’art. 53 CPC en procédure civile – implique pour l’autorité l’obligation de motiver sa décision (ATF 145 IV 407 consid. 3.4.1 ; ATF 143 III 65 consid. 5.2 ; ATF 143 IV 40 consid. 3.4.3).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ATF 143 III 65 précité ; ATF 141 V</w:t>
      </w:r>
    </w:p>
    <w:p>
      <w:r>
        <w:t>- 8 - 557 consid. 3.2.1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(sur le tout : TF 5A_445/2023 du 2 octobre 2023 consid. 3.1 et les réf. citées ; TF 5A_961/2022 du 11 mai 2023 consid. 3.2).</w:t>
      </w:r>
    </w:p>
    <w:p>
      <w:r>
        <w:rPr>
          <w:b/>
        </w:rPr>
        <w:t>E. 4.3</w:t>
      </w:r>
    </w:p>
    <w:p>
      <w:r>
        <w:t>Selon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I 1 consid. 3a). Lorsque l'autorité fixe l'indemnité due à un conseil d'office en statuant sur la base d'une liste de frais, elle doit alors exposer brièvement, si elle entend s'en écarter, les motifs pour lesquels elle tient certaines prétentions pour injustifiées (ATF 141 I 70 consid. 5.2 ; TF 4D_37/2018 du</w:t>
      </w:r>
    </w:p>
    <w:p>
      <w:r>
        <w:rPr>
          <w:b/>
        </w:rPr>
        <w:t>E. 5</w:t>
      </w:r>
    </w:p>
    <w:p>
      <w:r>
        <w:t>En l’espèce, la décision attaquée se réfère bien à quelques opérations précises justifiait la réduction du temps d’activité du recourant et de l’avocat-stagiaire. En effet, celle-ci relève tout d’abord, s’agissant de l’établissement des bordereaux de la requête de preuve à futur du 9 février 2022 et de la duplique du 31 août 2022, que lesdits bordereaux n’étaient pas particulièrement complexes. Celle-ci retient également que le temps passé à l’étude et à la préparation du dossier ainsi qu’à la préparation de l’audience de premières plaidoiries paraissait excessif et que la durée consacrée à l’envoi de courriels, en sus des entretiens téléphoniques, était disproportionnée. Finalement, la décision entreprise constate que, « de manière générale », du temps a été consacré à double par le recourant et l’avocat-stagiaire pour l’étude du dossier et la rédaction des écritures. Toutefois, les opérations précitées ont pour la plupart requis un temps très réduit, étant rappelé que Me S.________ a fait au total état de 127 heures et 18 minutes de travail, soit une durée relativement importante. En effet, 18 et 36 minutes ont été nécessaires à la confection des deux bordereaux susmentionnés. De même, seules 2 heures et 42 minutes ont été consacrées à l’étude du dossier, respectivement 9 heures et 24 minutes pour la préparation de l’audience de premières plaidoiries. Du reste, la décision attaquée ne précise pas quelles opérations seraient incluses dans la « préparation du dossier » – cet intitulé n’étant pas mentionnée dans la liste des opérations du 5 décembre 2023 –, ni quelles opérations auraient été effectuées à double.</w:t>
      </w:r>
    </w:p>
    <w:p>
      <w:r>
        <w:t>- 10 - Il est encore relevé que si la décision attaquée évoque 84 courriels, à la lecture de la liste des opérations du 5 décembre 2023, il n’est néanmoins pas fait état de l’envoi de courriels ou d’emails. Des « correspondances » sont toutefois mentionnées, dont 63 « correspondances à cliente » (61 ayant été envoyées par le recourant et 2 par l’avocat-stagiaire), le reste ayant été adressé à la Chambre patrimoniale cantonale, l’avocat de la partie adverse, à deux autres conseils et à l’Office des poursuites du district de Lausanne. En outre, la décision litigieuse n’indique pas la durée que le recourant aurait annoncée pour l’envoi des 84 « courriels » ni le temps qui aurait finalement été pris en compte. Force est d’ailleurs de constater que, de manière générale, le prononcé entrepris n’indique pas quelle durée aurait été retenue, respectivement aurait été retranchée pour chaque opération afin de calculer l’indemnité d’office du recourant. Il est renvoyé au principe ex aequo et bono pour justifier que le temps total admissible serait de 79 heures au total, sans autres détails. Il n’est ainsi pas possible, sur cette base, de comprendre l'ampleur de la réduction des différentes opérations, étant relevé que la réduction totale effectuée par la juge déléguée représente 48 heures et 41 minutes (127 heures et 18 minutes – 79 heures), soit 38 % de l'activité de l'avocat et de l'avocat-stagiaire. Aussi, c’est à raison que le recourant se prévaut du manquement par l’autorité de première instance de son obligation de motivation et, partant, de la violation de son droit d’être entendu, laquelle ne peut être réparée par la Chambre de céans. Il s'ensuit que la décision attaquée doit être annulée et le dossier de la cause renvoyé à l'autorité de première instance pour qu'elle indique les raisons qui l'ont conduite à réduire dans cette mesure l'ensemble des opérations, en indiquant le temps réduit à tout le moins pour chaque type d'opérations. Au vu de l'admission du grief tiré de la violation du droit d'être entendu, il n'est pas nécessaire d'examiner les autres moyens soulevés par l'intéressé.</w:t>
      </w:r>
    </w:p>
    <w:p>
      <w:r>
        <w:t>- 11 -</w:t>
      </w:r>
    </w:p>
    <w:p>
      <w:r>
        <w:rPr>
          <w:b/>
        </w:rPr>
        <w:t>E. 6.1</w:t>
      </w:r>
    </w:p>
    <w:p>
      <w:r>
        <w:t>En définitive, le recours doit être admis, la décision entreprise annulée et la cause renvoyée à l'autorité de première instance pour nouvelle décision dans le sens des considérants. Ce renvoi étant dicté par une violation du droit d'être entendu, il n'y a pas lieu d'inviter la bénéficiaire de l'assistance judiciaire à déposer une réponse, la cause n'étant pas préjugée sur le fond (TF 5A_910/2016 du 1er septembre 2017 consid. 4 ; CREC 17 mars 2022/76 consid. 4.1 et les réf. citées).</w:t>
      </w:r>
    </w:p>
    <w:p>
      <w:r>
        <w:rPr>
          <w:b/>
        </w:rPr>
        <w:t>E. 6.2</w:t>
      </w:r>
    </w:p>
    <w:p>
      <w:r>
        <w:t>Les frais judiciaires de deuxième instance, arrêtés à 300 fr. (art. 69 al. 1 TJFC [tarif des frais judiciaires civils du 28 septembre 2010 ; BLV 270.11.5]), seront laissés à la charge de l'Etat (art. 107 al. 2 CPC), dès lors qu'ils ne sont pas imputables aux parties. L'Etat restituera ce montant au recourant, celui-ci en ayant fait l'avance. Enfin, quand bien même le recourant obtient gain de cause, il n'y a pas lieu de lui allouer des dépens de deuxième instance, puisqu'il a agi dans sa propre cause (CREC 25 avril 2023/79 consid. 4). Par ces motifs, la Chambre des recours civile du Tribunal cantonal, prononce : I. Le recours est admis. II. La décision est annulée et la cause renvoyée à la Juge déléguée de la Chambre patrimoniale cantonale pour qu'elle procède dans le sens des considérants. III. Les frais judiciaires de deuxième instance, arrêtés à 300 fr. (trois cents francs), sont laissés à la charge de l'Etat.</w:t>
      </w:r>
    </w:p>
    <w:p>
      <w:r>
        <w:t>- 12 - IV. L’arrêt est exécutoire. La présidente : La greffière : Du L'arrêt qui précède, dont la rédaction a été approuvée à huis clos, est notifié à : - Me S.________, - Mme A.________.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