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PT19.013645 vom 22. Dezember 2023</w:t>
      </w:r>
    </w:p>
    <w:p>
      <w:r>
        <w:t>VD Tribunal cantonal, 2023-12-22, FR</w:t>
      </w:r>
    </w:p>
    <w:p>
      <w:r>
        <w:rPr>
          <w:b/>
        </w:rPr>
        <w:t xml:space="preserve">Quelle: </w:t>
      </w:r>
      <w:r>
        <w:t>https://mcp.opencaselaw.ch/entscheid/vd_gerichte_PT19.013645</w:t>
      </w:r>
    </w:p>
    <w:p>
      <w:r>
        <w:t>FR: VD_GERICHTE PT19.013645 du 22 décembre 2023</w:t>
      </w:r>
    </w:p>
    <w:p>
      <w:r>
        <w:t>IT: VD_GERICHTE PT19.013645 del 22 dicembre 2023</w:t>
      </w:r>
    </w:p>
    <w:p>
      <w:pPr>
        <w:pStyle w:val="Heading2"/>
      </w:pPr>
      <w:r>
        <w:t>Erwägungen</w:t>
      </w:r>
    </w:p>
    <w:p>
      <w:r>
        <w:rPr>
          <w:b/>
        </w:rPr>
        <w:t>E. 1</w:t>
      </w:r>
    </w:p>
    <w:p>
      <w:r>
        <w:t>Le 10 août 2020, L.________ SA a déposé auprès de la Chambre patrimoniale cantonale une action à l’encontre d’I.________ en exécution d’un contrat de vente immobilière à terme du 6 décembre 2018.</w:t>
      </w:r>
    </w:p>
    <w:p>
      <w:r>
        <w:rPr>
          <w:b/>
        </w:rPr>
        <w:t>E. 2</w:t>
      </w:r>
    </w:p>
    <w:p>
      <w:r>
        <w:t>Par ordonnance de preuves du 15 novembre 2023, le Juge délégué de la Chambre patrimoniale cantonale a rejeté la requête de suspension déposée le 22 avril 2023 par I.________ (I), a refusé l’introduction en procédure de faits et moyens de preuve nouveaux (II), a dit qu’il n’y avait pas lieu d’administrer les offres de preuve des parties relatives aux allégués admis (III), a ordonné la production de pièces, l’audition de parties et de témoins, ainsi que la mise en œuvre d’une expertise (IV à VII), a statué sur les avances de frais à fournir (VIII) et a déclaré l’ordonnance immédiatement exécutoire (IX).</w:t>
      </w:r>
    </w:p>
    <w:p>
      <w:r>
        <w:rPr>
          <w:b/>
        </w:rPr>
        <w:t>E. 3</w:t>
      </w:r>
    </w:p>
    <w:p>
      <w:r>
        <w:t>Par acte du 1er décembre 2023, I.________ (ci-après : le recourant) a interjeté recours contre cette ordonnance en indiquant s’y opposer « à travers toutes ses prémisses et ses conclusions ». L.________ SA (ci-après : l’intimée) n’a pas été invitée à se déterminer.</w:t>
      </w:r>
    </w:p>
    <w:p>
      <w:r>
        <w:rPr>
          <w:b/>
        </w:rPr>
        <w:t>E. 4.1.1</w:t>
      </w:r>
    </w:p>
    <w:p>
      <w:r>
        <w:t>Aux termes de l’art. 319 CPC (Code de procédure civile du 19 décembre 2008 ; RS 272),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w:t>
      </w:r>
    </w:p>
    <w:p>
      <w:r>
        <w:t>- 3 - un préjudice difficilement réparable (let. b ch. 2). Le recours est en particulier conditionné à l’existence d’un risque de préjudice difficilement réparable (art. 319 let. b ch. 2 CPC) s’il est interjeté contre une ordonnance de preuves (ATF 147 III 582 consid. 4.4 et réf. cit. ; ATF 142 III 116 consid. 3.4.1 ; TF 5A_679/2019 du 5 juillet 2021 consid. 13.2), une décision refusant de suspendre la procédure (TF 5D_182/2015 du 2 février 2016 consid. 1.3) ou une décision statuant sur l’admission de faits et moyens de preuve nouveaux (CREC 1er mai 2023/85 consid. 2.1.1 ; CREC 4 octobre 2021/273 consid. 5.2.1). Le recours, écrit et motivé, doit être introduit dans les 30 jours auprès de l'instance de recours (art. 321 al. 1 CPC), soit la Chambre des recours civile (art. 73 al. 1 LOJV [loi vaudoise d’organisation judiciaire du 12 décembre 1979 ; BLV 173.01]). Le délai est de 10 jours pour les ordonnances d’instruction (art. 321 al. 2 CPC).</w:t>
      </w:r>
    </w:p>
    <w:p>
      <w:r>
        <w:rPr>
          <w:b/>
        </w:rPr>
        <w:t>E. 4.1.2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6 décembre 2023/258 consid. 4.1.2 et réf. cit.). La question de savoir s’il existe un préjudice difficilement réparable s’apprécie par rapport aux effets de la décision incidente sur la cause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6 décembre 2023/258 consid. 4.1.2 et réf. cit.). En outre, un préjudice difficilement réparable ne doit pas pouvoir être ultérieurement réparé ou entièrement réparé par une décision finale favorable au recourant (ATF 134 III 188 consid. 2.1 et 2.2 ; TF 5A_40/2022 du 25 mars</w:t>
      </w:r>
    </w:p>
    <w:p>
      <w:r>
        <w:t>- 4 - 2022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6 décembre 2023/258 consid. 4.1.2 ; CREC 24 novembre 2022/272 consid. 1.1.2).</w:t>
      </w:r>
    </w:p>
    <w:p>
      <w:r>
        <w:rPr>
          <w:b/>
        </w:rPr>
        <w:t>E. 4.2</w:t>
      </w:r>
    </w:p>
    <w:p>
      <w:r>
        <w:t>Il découle des considérations qui précèdent que la recevabilité du recours déposé le 1er décembre 2023 est soumise à l’existence d’un risque de préjudice difficilement réparable, aussi bien s’agissant des chiffres du dispositif relevant d’une ordonnance de preuves (ch. III à VIII), que de ceux se rapportant au refus de suspension de la procédure (ch. I) et aux nova (ch. II). Cette question est abordée en page 3 du recours dans des développements qui n’emportent aucune substance. Le recourant n’expose pas en quoi la décision entreprise risquerait de lui causer un tel préjudice, qu'on ne saurait de surcroît discerner dans la présente affaire. Faute pour le recourant de démontrer que la décision litigieuse est susceptible de lui causer un préjudice difficilement réparable au sens de l’art. 319 let. b ch. 2 CPC, le recours s’avère irrecevable.</w:t>
      </w:r>
    </w:p>
    <w:p>
      <w:r>
        <w:rPr>
          <w:b/>
        </w:rPr>
        <w:t>E. 5.1</w:t>
      </w:r>
    </w:p>
    <w:p>
      <w:r>
        <w:t>En définitive, le recours doit être déclaré irrecevable conformément à l'art. 322 al. 1 in fine CPC.</w:t>
      </w:r>
    </w:p>
    <w:p>
      <w:r>
        <w:rPr>
          <w:b/>
        </w:rPr>
        <w:t>E. 5.2</w:t>
      </w:r>
    </w:p>
    <w:p>
      <w:r>
        <w:t>Les frais judiciaires de deuxième instance, arrêtés à 100 fr. (art. 69 al. 1 et 70 al. 2, spéc. 2ème phrase, TFJC [tarif des frais judiciaires civils du 28 septembre 2010 ; BLV 270.11.5]), sont mis à la charge du recourant, qui succombe (art. 106 al. 1 CPC). Il n’y a pas lieu à l’allocation de dépens de deuxième instance, l’intimée n’ayant pas été invitée à se déterminer.</w:t>
      </w:r>
    </w:p>
    <w:p>
      <w:r>
        <w:t>- 5 -</w:t>
      </w:r>
    </w:p>
    <w:p>
      <w:r>
        <w:t>- 6 - Par ces motifs, la Chambre des recours civile du Tribunal cantonal, en application de l'art. 322 al. 1 CPC, prononce : I. Le recours est irrecevable. II. Les frais judiciaires de deuxième instance, arrêtés à 100 fr. (cent francs), sont mis à la charge du recourant I.________. III. L’arrêt est exécutoire. La présidente : La greffière :</w:t>
      </w:r>
    </w:p>
    <w:p>
      <w:r>
        <w:t>- 7 - Du L'arrêt qui précède, dont la rédaction a été approuvée à huis clos, est notifié à : - M. I.________ ; - Me Alexis Lafranchi (pour L.________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