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PT18.050305 vom 24. Mai 2019</w:t>
      </w:r>
    </w:p>
    <w:p>
      <w:r>
        <w:t>VD Tribunal cantonal, 2019-05-24, FR</w:t>
      </w:r>
    </w:p>
    <w:p>
      <w:r>
        <w:rPr>
          <w:b/>
        </w:rPr>
        <w:t xml:space="preserve">Quelle: </w:t>
      </w:r>
      <w:r>
        <w:t>https://mcp.opencaselaw.ch/entscheid/vd_gerichte_PT18.050305</w:t>
      </w:r>
    </w:p>
    <w:p>
      <w:r>
        <w:t>FR: VD_GERICHTE PT18.050305 du 24 mai 2019</w:t>
      </w:r>
    </w:p>
    <w:p>
      <w:r>
        <w:t>IT: VD_GERICHTE PT18.050305 del 24 maggio 2019</w:t>
      </w:r>
    </w:p>
    <w:p>
      <w:pPr>
        <w:pStyle w:val="Heading2"/>
      </w:pPr>
      <w:r>
        <w:t>Erwägungen</w:t>
      </w:r>
    </w:p>
    <w:p>
      <w:r>
        <w:rPr>
          <w:b/>
        </w:rPr>
        <w:t>E. 1</w:t>
      </w:r>
    </w:p>
    <w:p>
      <w:r>
        <w:t>Par demande en restitution du 15 novembre 2018, P.________ a principalement conclu, avec suite de frais et dépens, à ce que O.________</w:t>
      </w:r>
    </w:p>
    <w:p>
      <w:r>
        <w:t>- 3 - soit condamné, sous menace de la peine d’amende prévue à l’art. 292 CP, à lui restituer immédiatement quarante-six archets manquants dont il a produit la liste, à ce que O.________ soit condamné à lui verser la somme de 20'000 fr. avec intérêts à 5 % l’an dès le 1er octobre 2017 et à ce que la mainlevée définitive de l’opposition formée au commandement de payer notifié le 15 janvier 2018 dans la poursuite n° 854 0864 à hauteur de 20'000 fr. soit prononcée.</w:t>
      </w:r>
    </w:p>
    <w:p>
      <w:r>
        <w:rPr>
          <w:b/>
        </w:rPr>
        <w:t>E. 1.1</w:t>
      </w:r>
    </w:p>
    <w:p>
      <w:r>
        <w:t>Le tribunal conduit le procès et prend les décisions d'instruction nécessaires à une préparation et à une conduite rapides de la procédure (art. 124 al. 1 CPC [Code de procédure civile du 19 décembre 2008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Commentaire romand, Code de procédure civile [ci-après : CR-CPC], 2e éd., 2019, n. 9 ad art. 126 CPC ; CREC 6 février 2014/46 ; CREC 24 janvier 2013/26).</w:t>
      </w:r>
    </w:p>
    <w:p>
      <w:r>
        <w:t>- 5 - Le recours, écrit et motivé, doit être introduit auprès de l'instance de recours, soit en l'occurrence la Chambre des recours civile qui statue dans une composition à trois juges, dans les dix jours à compter de la notification de la décision motivée (art. 321 al. 2 CPC).</w:t>
      </w:r>
    </w:p>
    <w:p>
      <w:r>
        <w:rPr>
          <w:b/>
        </w:rPr>
        <w:t>E. 1.2</w:t>
      </w:r>
    </w:p>
    <w:p>
      <w:r>
        <w:t>L’art. 59 al. 1 CPC prévoit en outre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CR-CPC, op. cit., n. 89 ad art. 59 CPC). Comme toute condition de recevabilité, l’intérêt doit exister au moment du jugement (Bohnet, op. cit., n. 92 ad art. 59 CPC et n. 13 ad art. 60 CPC et les références citées ; Hohl, Procédure civile, tome I, 2001, n. 318). L’absence d’un tel intérêt, qui doit être constatée d’office, entraîne l’irrecevabilité de l’appel ou du recours (Colombini, Code de procédure civile, Condensé de la jurisprudence fédérale et vaudoise, 2018, n. 2.1 ad art. 311 CPC et les références citées)</w:t>
      </w:r>
    </w:p>
    <w:p>
      <w:r>
        <w:rPr>
          <w:b/>
        </w:rPr>
        <w:t>E. 1.3</w:t>
      </w:r>
    </w:p>
    <w:p>
      <w:r>
        <w:t>Compris comme l'un des aspects de la notion générale de procès équitable au sens de l'art. 29 Cst. (Constitution fédérale du 18 avril 1999, RS 101) et de l’art. 6 CEDH (Convention de sauvegarde des droits de l’homme et des libertés fondamentales du 4 novembre 1950, RS 0.101), le droit d'être entendu, garanti par l’art. 53 al. 1 CPC, confère à toute partie à une procédure le droit d’être informée et entendue avant qu’une décision ne soit prise à son sujet. S’agissant d’une garantie constitutionnelle de nature formelle, la violation du droit d’être entendu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w:t>
      </w:r>
    </w:p>
    <w:p>
      <w:r>
        <w:t>- 6 - instance et lorsque l'informalité n'est pas de nature à influer sur le jugement (Haldy,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6B_76/2011 du 31 mai 2011).</w:t>
      </w:r>
    </w:p>
    <w:p>
      <w:r>
        <w:rPr>
          <w:b/>
        </w:rPr>
        <w:t>E. 1.4</w:t>
      </w:r>
    </w:p>
    <w:p>
      <w:r>
        <w:t>En l’espèce, le recours a été déposé en temps utile. Le recourant ne démontre en revanche pas l’existence d’un préjudice difficilement réparable, question qui peut toutefois demeurer ouverte, compte tenu de ce qui suit. Le recourant reproche au premier juge d’avoir violé son droit d’être entendu, au motif que ni celui-ci ni l’intimé ne lui avaient communiqué les déterminations de l’intimé du 12 février 2019 sur sa requête du 24 janvier 2019 de suspension de la procédure civile jusqu’à droit jugé dans la procédure pénale initiée par l’intimé, les deux procédures étant fondées sur le même complexe de faits. Dans ces déterminations, l’intimé concluait au rejet de la requête de suspension compte tenu de l’ordonnance de classement et de refus de réquisition de preuve rendue par le procureur le 19 novembre 2018 dans la procédure pénale initiée par l’intimé contre le recourant. Il est incontestable que les déterminations de l’intimé du 12 février 2019 n’ont pas été transmises au recourant, comme cela ressort du procès-verbal des opérations de la Chambre patrimoniale cantonale ainsi que du prononcé attaqué qui n’en font pas état. Toutefois, l’existence d’un intérêt juridique actuel au recours doit être niée. En effet, la requête de suspension du 24 janvier 2019 était exclusivement fondée sur la procédure pénale initiée par l’intimé contre le recourant, tenue pour pendante par le recourant. Or, dès lors que cette procédure pénale n’est plus pendante, mais qu’elle a fait l’objet, le 19 novembre 2018, d’un classement et qu’un refus de réquisitions de preuve, le recourant n’a plus d’intérêt digne de protection à faire valoir la violation de son droit d’être entendu au motif que les déterminations de l’intimé sur</w:t>
      </w:r>
    </w:p>
    <w:p>
      <w:r>
        <w:t>- 7 - sa requête de suspension ne lui avaient pas été transmises dans le cadre de sa requête de suspension de la procédure. 2.</w:t>
      </w:r>
    </w:p>
    <w:p>
      <w:r>
        <w:rPr>
          <w:b/>
        </w:rPr>
        <w:t>E. 2</w:t>
      </w:r>
    </w:p>
    <w:p>
      <w:r>
        <w:t>Par ordonnance de classement et de refus de réquisitions de preuves du 19 novembre 2018, le Ministère public du canton de Genève a en substance ordonné le classement de la procédure pénale n° P/15485/2016 ouverte par plainte du 19 août 2016 de P.________ contre O.________ pour abus de confiance et a refusé d’ordonner les actes d’instruction complémentaires sollicités par P.________. Ladite ordonnance, rendue dans le cadre d’une procédure dirigée contre inconnu, n’a été notifiée qu’à P.________, par l’intermédiaire de son conseil. Par ordonnance de non entrée en matière du 19 novembre 2018 également, le Ministère public du canton de Genève a en substance décidé de ne pas entrer en matière sur les faits visés par la procédure pénale n° P/7028/2018 ouverte par plainte du 16 avril 2018 de O.________ contre P.________ pour tentative de contrainte. Ladite ordonnance a été notifiée aux deux parties, par l’intermédiaire de leurs conseils respectifs.</w:t>
      </w:r>
    </w:p>
    <w:p>
      <w:r>
        <w:rPr>
          <w:b/>
        </w:rPr>
        <w:t>E. 2.1</w:t>
      </w:r>
    </w:p>
    <w:p>
      <w:r>
        <w:t>Par ailleurs,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 Commentaire de la LTF, 2e éd., 2014, n. 27 ad art. 97 LTF).</w:t>
      </w:r>
    </w:p>
    <w:p>
      <w:r>
        <w:rPr>
          <w:b/>
        </w:rPr>
        <w:t>E. 2.2</w:t>
      </w:r>
    </w:p>
    <w:p>
      <w:r>
        <w:t>En l’espèce, le recourant ne fait pas valoir la violation de l’art. 126 CPC par le premier juge, grief qui aurait fait l’objet d’un plein pouvoir d’examen s’il avait été invoqué. 3. Il s’ensuit que le recours doit être déclaré irrecevable. L'arrêt peut être rendu sans frais judiciaires de deuxième instance (art. 11 TFJC [tarif des frais judiciaires en matière civile du 28 septembre 2010 ; RSV 270.11.5]). Il n’est pas alloué de dépens de deuxième instance, l’intimé n’ayant pas été invité à se déterminer.</w:t>
      </w:r>
    </w:p>
    <w:p>
      <w:r>
        <w:t>- 8 -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Me Romain Jordan (pour O.________), - Me Alexandre Camoletti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3</w:t>
      </w:r>
    </w:p>
    <w:p>
      <w:r>
        <w:t>Par requête du 24 janvier 2019, O.________ a conclu à la suspension de la procédure pécuniaire ouverte le 15 novembre 2018 jusqu’à droit connu sur la procédure pénale pendante devant le Ministère public du canton de Genève, suite à la plainte déposée contre lui par P.________ pour abus de confiance.</w:t>
      </w:r>
    </w:p>
    <w:p>
      <w:r>
        <w:rPr>
          <w:b/>
        </w:rPr>
        <w:t>E. 4</w:t>
      </w:r>
    </w:p>
    <w:p>
      <w:r>
        <w:t>Par déterminations du 12 février 2019, P.________ a en substance conclu au rejet de la requête de suspension. Ces déterminations n’ont pas été transmises à O.________.</w:t>
      </w:r>
    </w:p>
    <w:p>
      <w:r>
        <w:t>- 4 -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