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PT18.016690 vom 26. November 2020</w:t>
      </w:r>
    </w:p>
    <w:p>
      <w:r>
        <w:t>VD Tribunal cantonal, 2020-11-26, FR</w:t>
      </w:r>
    </w:p>
    <w:p>
      <w:r>
        <w:rPr>
          <w:b/>
        </w:rPr>
        <w:t xml:space="preserve">Quelle: </w:t>
      </w:r>
      <w:r>
        <w:t>https://mcp.opencaselaw.ch/entscheid/vd_gerichte_PT18.016690</w:t>
      </w:r>
    </w:p>
    <w:p>
      <w:r>
        <w:t>FR: VD_GERICHTE PT18.016690 du 26 novembre 2020</w:t>
      </w:r>
    </w:p>
    <w:p>
      <w:r>
        <w:t>IT: VD_GERICHTE PT18.016690 del 26 novembre 2020</w:t>
      </w:r>
    </w:p>
    <w:p>
      <w:pPr>
        <w:pStyle w:val="Heading2"/>
      </w:pPr>
      <w:r>
        <w:t>Erwägungen</w:t>
      </w:r>
    </w:p>
    <w:p>
      <w:r>
        <w:rPr>
          <w:b/>
        </w:rPr>
        <w:t>E. 3.1</w:t>
      </w:r>
    </w:p>
    <w:p>
      <w:r>
        <w:t>L’appelante fait valoir dans son mémoire d’appel qu’elle ne saurait être tenue pour responsable du fait que le greffe du tribunal n’ait pas informé le premier juge du dépôt de l’action en paiement. Elle indique avoir valablement introduit une demande au fond au vu des conclusions formulées et ajoute que si son acte ne répondait pas aux exigences de procédure, il y avait lieu de lui impartir un délai afin qu’elle le rectifie.</w:t>
      </w:r>
    </w:p>
    <w:p>
      <w:r>
        <w:rPr>
          <w:b/>
        </w:rPr>
        <w:t>E. 3.2.1</w:t>
      </w:r>
    </w:p>
    <w:p>
      <w:r>
        <w:t>Conformément à l’art. 261 al. 1 CPC, le tribunal ordonne les mesures provisionnelles nécessaires lorsque le requérant rend vraisemblable qu’une prétention dont il est titulaire elle est l’objet d’une atteinte ou risque de l’être et que cette atteinte risque de lui causer un préjudice difficilement réparable. Si l’action au fond n’est pas encore pendante, le tribunal impartit au requérant un délai pour le dépôt de la demande, sous peine de caducité des mesures ordonnées (art. 263 CPC).</w:t>
      </w:r>
    </w:p>
    <w:p>
      <w:r>
        <w:t>- 9 - Selon l’art. 198 let. h CPC, la procédure de conciliation n’a pas lieu lorsque le tribunal a fixé un délai pour le dépôt de la demande. La demande ou la requête (de cas clair, par exemple) doit porter entre autres sur l'objet des mesures provisionnelles. A défaut, elle ne valide pas lesdites mesures, qui deviennent caduques. Si la demande est déposée mais déclarée irrecevable faute de compétence ou pour vice de forme (art. 63 al. 1 CPC), les mesures perdurent si l'intéressé dépose un nouvel acte dans le délai d'un mois (art. 63 al. 1 et 2 CPC ; Bohnet, Commentaire romand, Code de procédure civile, 2e éd., Bâle 2019, nn. 8, 12 et 13 ad art. 263 CPC ainsi que les réf. citées). A l'échéance du délai fixé, les mesures deviennent caduques et une restitution de délai est inenvisageable (Bohnet, op. cit., nn. 16 s. ad art. 263 CPC).</w:t>
      </w:r>
    </w:p>
    <w:p>
      <w:r>
        <w:rPr>
          <w:b/>
        </w:rPr>
        <w:t>E. 3.2.2</w:t>
      </w:r>
    </w:p>
    <w:p>
      <w:r>
        <w:t>A teneur de l’art. 221 al. 1 CPC, la demande contient la désignation des parties et, le cas échéant, celle de leur représentant (let. a), les conclusions (let. b), l’indication de la valeur litigieuse (let. c), les allégations de fait (let. d), l’indication, pour chaque allégation, des moyens de preuves proposés (let. e), la date et la signature (let. f). Sont notamment joints à la demande le cas échéant, la procuration du représentant, les titres disponibles invoqués comme moyen de preuve et un bordereau des preuves invoquées (al. 2, let. a, c et d). Selon l’art. 132 CPC, le tribunal fixe un délai pour la rectification des vices de forme telle l’absence de signature ou de procuration. À défaut, l’acte n’est pas pris en considération.</w:t>
      </w:r>
    </w:p>
    <w:p>
      <w:r>
        <w:rPr>
          <w:b/>
        </w:rPr>
        <w:t>E. 3.3.1</w:t>
      </w:r>
    </w:p>
    <w:p>
      <w:r>
        <w:t>Il ressort des pièces produites par l’appelante à l'appui de son mémoire d’appel qu’elle a déposé le 2 août 2019 auprès du tribunal une écriture intitulée « Requête (Procédure de conciliation préalable 197ss CPC) », comprenant des allégués et offres de preuve en relation avec les conclusions qui tendaient à ce que l’intimé soit reconnu débiteur et lui</w:t>
      </w:r>
    </w:p>
    <w:p>
      <w:r>
        <w:t>- 10 - doive paiement de la somme de 38'664 fr., plus intérêts à 5 % l'an dès le 22 décembre 2017, et à ce que les sûretés constituées sur le compte dudit tribunal soient déconsignées dans cette mesure en sa faveur, à savoir en capital, intérêts et frais de justice. Le dépôt de cette écriture a été dûment attesté par le greffe du tribunal le 4 septembre 2019 et les parties citées le jour même en conciliation. A réception du prononcé dont est appel, l’appelante a réagi sans tarder, soit le 13 septembre 2019, auprès du tribunal, exposant avoir déposé la requête précitée et invoquant le caractère injustifié du prononcé litigieux. Le 17 septembre 2019, le président a indiqué qu'il ne saurait être question d'invalider le prononcé litigieux et qu'il s'agissait le cas échéant de le contester par la voie de droit indiquée à son pied.</w:t>
      </w:r>
    </w:p>
    <w:p>
      <w:r>
        <w:rPr>
          <w:b/>
        </w:rPr>
        <w:t>E. 3.3.2</w:t>
      </w:r>
    </w:p>
    <w:p>
      <w:r>
        <w:t>On constate en l’espèce que la requête déposée le 2 août 2019 est certes intitulée requête de conciliation et porte la mention des art. 202 ss CPC, relatifs à la procédure de conciliation, laquelle est en l'occurrence exclue par l'art. 198 let. h CPC. Il n'en demeure pas moins que cet acte comporte des allégués concernant les faits de la cause, assortis des offres de preuve y relatives, dont des pièces produites à son appui et réunies sous bordereau. L’écriture contient également des conclusions en paiement et en déconsignation à due concurrence des sûretés constituées en remplacement des hypothèques légales, soit des conclusions au fond qui tendent à valider les mesures provisionnelles objet du prononcé de caducité litigieux. Cet acte est par conséquent conforme aux exigences de l'art. 221 CPC. Ce serait dès lors faire preuve de formalisme excessif que de refuser de le considérer comme valant acte introductif de l'instance au fond comme le voudrait l'intimé, au seul motif de sa dénomination et de la mention erronées des articles du CPC relatifs à la conciliation préalable (cf. Bohnet, op. cit., n. 12 ad art. 132 CPC et la réf. citée). D'ailleurs, l'acte adressé au bon tribunal mais à la mauvaise cour ou au mauvais juge est revêtu d'un vice de forme mineur et doit être traité par le tribunal compétent (Bohnet, op. cit., n. 29 in fine ad art. 63 CPC et les réf. citées). L’argument de l’intimé selon lequel l’appelante n’a pas non plus réagi à la citation à une audience de conciliation est vain</w:t>
      </w:r>
    </w:p>
    <w:p>
      <w:r>
        <w:t>- 11 - pour les motifs précités. Enfin, quoi qu’en dise l’intimé, le fait que l’appelante ait été assistée par un mandataire professionnel ne modifie pas l’appréciation qui précède.</w:t>
      </w:r>
    </w:p>
    <w:p>
      <w:r>
        <w:rPr>
          <w:b/>
        </w:rPr>
        <w:t>E. 4.1</w:t>
      </w:r>
    </w:p>
    <w:p>
      <w:r>
        <w:t>Se pose encore la question du dépôt de la requête en première instance par un agent d’affaires breveté.</w:t>
      </w:r>
    </w:p>
    <w:p>
      <w:r>
        <w:rPr>
          <w:b/>
        </w:rPr>
        <w:t>E. 4.2</w:t>
      </w:r>
    </w:p>
    <w:p>
      <w:r>
        <w:t>Un acte introductif de l'instance au fond émanant d'un représentant non habilité, soit d'un représentant sans pouvoirs ou falsus procurator, peut être ratifié par la partie en application de l'art. 38 CO (loi fédérale du 30 mars 1911 complétant le code civil suisse [livre cinquième : Droit des obligations] ; RS 220 ; Bohnet, op. cit., n. 31 ad art. 68 CPC et les réf. citées), auquel cas un délai doit être imparti à cette dernière en application de l'art. 132 CPC (Tappy, op. cit., n. 15 ad art. 108 CPC). La capacité de revendiquer constitue une condition de recevabilité de la demande, bien qu’elle ne soit pas mentionnée à l’art. 59 CPC. Lorsque le représentant de la partie n'a pas la capacité de revendiquer (cas de l'agent d'affaires agissant en procédure ordinaire par exemple), le tribunal doit fixer un délai à la partie pour qu'elle désigne un représentant satisfaisant aux conditions légales (TF 4A_413/2019 du 28 octobre 2019 consid. 3.3.2 et la réf. citée).</w:t>
      </w:r>
    </w:p>
    <w:p>
      <w:r>
        <w:rPr>
          <w:b/>
        </w:rPr>
        <w:t>E. 4.3</w:t>
      </w:r>
    </w:p>
    <w:p>
      <w:r>
        <w:t>En l’occurrence, l’agent d’affaires breveté Alexandre Landry a agi sans pouvoirs dans la mesure où il n’est pas autorisé à intervenir en qualité de représentant qualifié dans la cause au fond (consid. 1.2 supra). Vu l'issue de l'appel, il convient d'annuler la décision attaquée et de retourner le dossier de la cause au premier juge afin qu'en premier lieu, il impartisse, en application de l'art. 132 CPC, un bref délai à l’appelante pour ratifier le cas échéant l'écriture déposée le 2 août 2019 par l'agent d'affaires breveté. Le cas échéant, en présence d'une ratification par un représentant autorisé de l’appelante dans le délai imparti à cet effet, il</w:t>
      </w:r>
    </w:p>
    <w:p>
      <w:r>
        <w:t>- 12 - incombera au premier juge d'enregistrer la requête du 2 août 2019, puis d'instruire la cause au fond.</w:t>
      </w:r>
    </w:p>
    <w:p>
      <w:r>
        <w:rPr>
          <w:b/>
        </w:rPr>
        <w:t>E. 5.1</w:t>
      </w:r>
    </w:p>
    <w:p>
      <w:r>
        <w:t>Au vu de ce qui précède, l'appel doit être admis et la décision annulée, la cause étant renvoyée d'office au premier juge pour qu'il procède dans le sens des considérants.</w:t>
      </w:r>
    </w:p>
    <w:p>
      <w:r>
        <w:rPr>
          <w:b/>
        </w:rPr>
        <w:t>E. 5.2</w:t>
      </w:r>
    </w:p>
    <w:p>
      <w:r>
        <w:t>Ayant conclu au rejet de l'appel, l’intimé doit être considéré comme la partie qui succombe et chargé des frais judiciaires de deuxième instance, arrêtés à 1'387 fr. (art. 62 al. 1 TFJC [tarif des frais judiciaires civils du 28 septembre 2010 ; BLV 270.11.5]), et des dépens en faveur de l'appelante, arrêtés à 1'500 fr. en application de l'art.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