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PT18.005973 vom 13. Mai 2022</w:t>
      </w:r>
    </w:p>
    <w:p>
      <w:r>
        <w:t>VD Tribunal cantonal, 2022-05-13, FR</w:t>
      </w:r>
    </w:p>
    <w:p>
      <w:r>
        <w:rPr>
          <w:b/>
        </w:rPr>
        <w:t xml:space="preserve">Quelle: </w:t>
      </w:r>
      <w:r>
        <w:t>https://mcp.opencaselaw.ch/entscheid/vd_gerichte_PT18.005973</w:t>
      </w:r>
    </w:p>
    <w:p>
      <w:r>
        <w:t>FR: VD_GERICHTE PT18.005973 du 13 mai 2022</w:t>
      </w:r>
    </w:p>
    <w:p>
      <w:r>
        <w:t>IT: VD_GERICHTE PT18.005973 del 13 maggio 2022</w:t>
      </w:r>
    </w:p>
    <w:p>
      <w:pPr>
        <w:pStyle w:val="Heading2"/>
      </w:pPr>
      <w:r>
        <w:t>Erwägungen</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 TF 4A_469/2017 du 8 avril 2019 consid. 3.1.3).</w:t>
      </w:r>
    </w:p>
    <w:p>
      <w:r>
        <w:rPr>
          <w:b/>
        </w:rPr>
        <w:t>E. 4.1</w:t>
      </w:r>
    </w:p>
    <w:p>
      <w:r>
        <w:t>Mêlant ensuite fait et droit, l’appelante invoque d’une part un grief de constatation inexacte des faits, d’autre part la violation des art. 1, 6, 394, 396 et 412 CO (Code des obligations du 30 mars 1911 ; RS 220) et des règles en matière d’interprétation des contrats. Elle reproche en somme à l’autorité précédente de n’avoir pas retenu que les parties étaient « liées par une relation contractuelle » et fait valoir « qu’un contrat de mandat avait été conclu entre les parties, notamment de courtage, ou un quelconque autre contrat permettant de fonder ses prétentions à l’égard de l’intimé ».</w:t>
      </w:r>
    </w:p>
    <w:p>
      <w:r>
        <w:rPr>
          <w:b/>
        </w:rPr>
        <w:t>E. 4.2</w:t>
      </w:r>
    </w:p>
    <w:p>
      <w:r>
        <w:t>Aux termes de l'art. 1 al. 1 CO, le contrat est parfait lorsque les parties ont, réciproquement et d'une manière concordante, manifesté leur volonté.</w:t>
      </w:r>
    </w:p>
    <w:p>
      <w:r>
        <w:rPr>
          <w:b/>
        </w:rPr>
        <w:t>E. 4.2.1</w:t>
      </w:r>
    </w:p>
    <w:p>
      <w:r>
        <w:t>Pour qu'un contrat se forme, il faut que les parties s'accordent sur les points essentiels (art. 2 al. 1 CO). Les points essentiels sont les clauses indispensables à l'existence du contrat, tant les points subjectivement qu'objectivement essentiels (Morin, in Thévenoz/Werro [édit.], Commentaire romand, Code des obligations I, 3e éd., 2021, nn. 2 ss ad art. 2 CO et les réf. citées).</w:t>
      </w:r>
    </w:p>
    <w:p>
      <w:r>
        <w:rPr>
          <w:b/>
        </w:rPr>
        <w:t>E. 4.2.2</w:t>
      </w:r>
    </w:p>
    <w:p>
      <w:r>
        <w:t>La volonté des parties peut s’exprimer de manière expresse ou tacite (art. 1 al. 2 CO).</w:t>
      </w:r>
    </w:p>
    <w:p>
      <w:r>
        <w:t>- 14 - Une manifestation de volonté tacite ne peut cependant être retenue au sens de cette disposition qu’en présence d’un comportement univoque, dont l’interprétation ne suscite raisonnablement aucun doute (TF 4A_666/2017 du 17 mai 2018 consid. 4.3 et les réf. citées ; CACI 18 décembre 2020/547 consid. 3.2.1).</w:t>
      </w:r>
    </w:p>
    <w:p>
      <w:r>
        <w:rPr>
          <w:b/>
        </w:rPr>
        <w:t>E. 4.2.3</w:t>
      </w:r>
    </w:p>
    <w:p>
      <w:r>
        <w:t>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4A_103/2021 du 10 juin 2021 consid. 3.1.2 ; TF 4A_72/2020 du 23 octobre 2020 consid. 8.3.1.1). Il n'y a pas de place ici pour une application de la règle sur le fardeau de la preuve de l'art. 8 CC (Code civil suisse du 10 décembre 1907 ; RS 210) (TF 4A_72/2020, déjà cité, consid. 8.3.1.1 et les arrêts cités). 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w:t>
      </w:r>
    </w:p>
    <w:p>
      <w:r>
        <w:t>- 15 -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4A_9/2021 du 12 janvier 2022 consid. 4.2.2 ; TF 4A_72/2020, déjà cité, consid. 8.3.1.2 et les nombreux arrêts cités). Cette interprétation dite objective, qui relève du droit, s'effectue non seulement d'après le texte et le contexte des déclarations, mais également sur le vu des circonstances qui les ont précédées et accompagnées, à l'exclusion des circonstances postérieures (ATF 144 III 93 consid. 5.2.3 ; ATF 133 III 61 consid. 2.2.1, SJ 2007 I 217, JdT 2008 I 74 ; TF 4A_177/2021du 6 septembre 2021 consid.</w:t>
      </w:r>
    </w:p>
    <w:p>
      <w:r>
        <w:rPr>
          <w:b/>
        </w:rPr>
        <w:t>E. 4.2.4</w:t>
      </w:r>
    </w:p>
    <w:p>
      <w:r>
        <w:t>Selon l'art. 6 CO, lorsque l'auteur de l'offre ne devait pas, en raison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 TF 4A_328/2020 du 10 février 2021 consid. 3.3.1 ; TF 4C.303/2001 du 4 mars 2002 consid. 2b, SJ 2002 I 363). L’art. 6 CO exige que l’auteur de l’offre n’ait pas dû s’attendre à une acceptation active. Elle renvoie donc à un critère objectif pour trancher le conflit sur la portée du silence du destinataire de l’offre : ce silence vaudra comme acceptation si toute personne raisonnable placée dans la situation de l’auteur de l’offre aurait pu et dû interpréter le silence du destinataire dans ce sens, compte tenu de toutes les circonstances de l’espèce (art. 4 CC) (Morin, op. cit., n. 8 ad art. 6 CO et la réf. citée). Elle constitue à ce titre un cas d’application du principe de la confiance (ATF 123 III 35 consid. 2c/aa, JdT 1997 I 322). L’hypothèse visée par « la nature spéciale de l’affaire » est celle d’une offre de conclure un contrat entièrement avantageux pour son</w:t>
      </w:r>
    </w:p>
    <w:p>
      <w:r>
        <w:t>- 16 - destinataire et qui ne comporte pour lui aucune charge ni obligation (TF 4A_322/2017 du 9 octobre 2017 consid. 3.3). Le silence du destinataire d’une offre peut avoir la portée objective d’une acceptation en raison d’autres circonstances que la nature spéciale de l’affaire. Les usages en vigueur dans la branche ou les relations d’affaires habituelles des parties peuvent notamment être déterminants à cet égard. Le silence de l’une d’elles aura ainsi la portée objective d’une acceptation si elle a déjà accepté de cette façon toutes les offres antérieures de l’autre portant sur le même objet (Morin, op. cit., n. 10 ad art. 6 et les réf. citées, notamment SJ 1961 203 consid. 2). La jurisprudence a en particulier admis une exception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(TF 4A_231/2010 du 10 août 2010 consid. 2.4.1, SJ 2010 I 497 et les réf. citées). Le comportement du destinataire de l’offre joue également un rôle important, l’art. 6 CO étant notamment opposable à celui qui accepte sans réserve et durant une longue période des prestations faites en l’absence d’un contrat (ATF 119 II 147 consid. 5, JdT 1994 I 205).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 citées).</w:t>
      </w:r>
    </w:p>
    <w:p>
      <w:r>
        <w:rPr>
          <w:b/>
        </w:rPr>
        <w:t>E. 4.3</w:t>
      </w:r>
    </w:p>
    <w:p>
      <w:r>
        <w:t>- 17 -</w:t>
      </w:r>
    </w:p>
    <w:p>
      <w:r>
        <w:rPr>
          <w:b/>
        </w:rPr>
        <w:t>E. 4.3.1</w:t>
      </w:r>
    </w:p>
    <w:p>
      <w:r>
        <w:t>Aux termes de l’art. 394 al. 1 CO, le mandat est un contrat par lequel le mandataire s’oblige, dans les termes de la convention, à gérer l’affaire dont il s’est chargé ou à rendre les services qu’il a promis. La validité du contrat de mandat n'est pas subordonnée à l'accomplissement d'une forme particulière et ce contrat peut donc être conclu de façon tacite, conformément à l'art. 1 al. 2 CO (TF 4C.51/2005 du 5 juillet 2005 consid. 3.1).</w:t>
      </w:r>
    </w:p>
    <w:p>
      <w:r>
        <w:rPr>
          <w:b/>
        </w:rPr>
        <w:t>E. 4.3.2</w:t>
      </w:r>
    </w:p>
    <w:p>
      <w:r>
        <w:t>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La loi ne requiert aucune forme particulière pour la conclusion du contrat de courtage (cf. art. 11 CO ; ATF 131 III 268 consid. 5.1.2 ; TF 4A_309/2016 du 31 août 2016 consid. 2.2).</w:t>
      </w:r>
    </w:p>
    <w:p>
      <w:r>
        <w:rPr>
          <w:b/>
        </w:rPr>
        <w:t>E. 4.4</w:t>
      </w:r>
    </w:p>
    <w:p>
      <w:r>
        <w:t>L’appelante fait valoir un grief de constatation inexacte des faits. A la lecture du moyen, on peine toutefois à comprendre quel fait précis l’autorité précédente aurait inexactement omis de constater. Mélangeant fait et droit, il semble que l’appelante reproche à l’autorité précédente d’avoir retenu qu’aucune relation contractuelle n’aurait été conclue entre les parties.</w:t>
      </w:r>
    </w:p>
    <w:p>
      <w:r>
        <w:rPr>
          <w:b/>
        </w:rPr>
        <w:t>E. 4.4.1</w:t>
      </w:r>
    </w:p>
    <w:p>
      <w:r>
        <w:t>A l’appui de son moyen, l’appelante invoque à plusieurs reprises qu’elle aurait effectué un grand travail en rapport avec la parcelle no 87 et ce pour le compte de l’intimé. Que l’appelante ait effectué un travail n’impliquait toutefois pas qu’elle l’ait fait pour le compte de l’intimé, fait non constaté par l’autorité précédente. Or l’appelante n’établit pas avoir travaillé pour le compte de l’intimé dans le cadre de la valorisation de la parcelle no 87 : le but social de l’appelante est sur ce point sans pertinence sauf à admettre un contrat de mandat avec quiconque dès que la société s’intéresse à sa propriété. Pour le surplus, il a été établi que les parties ont discuté afin que l’appelante acquière de l’intimé la parcelle no 87. Un projet d’acte de vente conditionnelle a ainsi</w:t>
      </w:r>
    </w:p>
    <w:p>
      <w:r>
        <w:t>- 18 - été préparé, indiquant comme condition de l’acquisition par l’appelante que celle-ci prépare une demande de permis et obtienne une autorisation de construire, à ses frais. Ce seul élément va déjà à l’encontre de la thèse selon laquelle l’appelante aurait agi dans le cadre de la valorisation de la parcelle de l’intimé, faisant notamment intervenir Z.________, de O.________, et en particulier dans le cadre de l’obtention du permis de construire au nom et pour le compte de l’intimé. De tels éléments permettent au contraire de retenir que l’appelante agissait dans ce cadre pour son propre compte, même si l’intimé, grâce à la vente, pouvait obtenir les fonds lui permettant de financer un autre projet. Aucun élément ne permet de retenir le contraire s’agissant de la valorisation de la parcelle. Le fait que l’intimé ait signé la demande de permis en tant que propriétaire ne permet pas de modifier cette appréciation, ce d’autant moins que lors de la date d’émission du permis de construire, le 30 mai 2014, l’appelante était toujours désignée en qualité de « promettant acquéreur », élément qui infirme encore le fait que l’appelante agissait dans le cadre de la procédure d’octroi du permis de construire pour le compte de l’intimé. Au contraire, ces éléments conduisent à retenir qu’elle agissait, dans le cadre des opérations nécessaires à l’obtention d’une autorisation de construire à ses frais et pour son compte. On notera encore, comme l’avait relevé l’autorité précédente et comme le passe sous silence l’appelante, qu’en vertu de l’art. 73 al. 1 RLATC (règlement d’application de la loi du 4 décembre 1985 sur l'aménagement du territoire et les constructions ; BLV 700.11.1), les plans, le questionnaire général et les pièces annexes sont signés par leur auteur, le propriétaire du fonds et, le cas échéant, par le promettant-acquéreur et le maître de l'ouvrage. Dans ces conditions, la signature de l’intimé sur les plans, à côté de l’appelante en tant que « promettant acquéreur », ne signifiait aucunement que la seconde agissait dans ce cadre pour le compte du premier. L’appelant invoque sur ce point en vain les conclusions de l’expert, celui-ci ne disant rien de la personne pour le compte de qui les</w:t>
      </w:r>
    </w:p>
    <w:p>
      <w:r>
        <w:t>- 19 - prétendues prestations relatives à l’obtention du permis de construire ont été fournies. Au vu de ce qui précède, on ne saurait reprocher à l’autorité précédente de n’avoir pas retenu que l’appelante avait agi dans le cadre de la valorisation de la parcelle no 87 pour le compte de l’intimé. Au surplus, s’agissant toujours de la valorisation du terrain, rien ne permet non plus de retenir que l’intimé aurait voulu et accepté que l’appelante agisse, non pour son propre compte et à ses propres risques, mais pour le compte et aux frais de l’intimé.</w:t>
      </w:r>
    </w:p>
    <w:p>
      <w:r>
        <w:rPr>
          <w:b/>
        </w:rPr>
        <w:t>E. 4.4.2</w:t>
      </w:r>
    </w:p>
    <w:p>
      <w:r>
        <w:t>L’appelante allègue ensuite avoir renoncé à acquérir la parcelle no 87 pour la valoriser elle-même et que les parties auraient convenu que l’appelante interviendrait désormais comme mandataire ou courtière de l’intimé qui vendrait, lui, directement. L’appelante n’indique aucunement à quelle date serait intervenu son renoncement, qu’elle n’établit en outre pas, ne se référant à aucun élément de preuve. Elle n’expose pas davantage quand elle aurait communiqué ce prétendu renoncement à l’intimé, pas plus que les éléments permettant de retenir à sa suite un accord des parties que l’appelante travaille désormais comme mandataire ou courtière de l’intimé et ce de manière désormais onéreuse. Il n’y pas ici de constatation inexacte des faits. On relèvera encore, s’agissant de ce prétendu accord de mandat ou de courtage entre les parties, que l’appelante n’invoque aucun élément qui permettrait d’en établir la teneur, notamment quant aux prestations prétendument convenues (service, courtage d’indication, courtage de négociation, etc.), au principe d’une rémunération et aux conditions donnant droit à celle-ci. Or rien n’est établi sur ce point, de sorte qu’outre les éléments factuels permettant de retenir une volonté réelle des parties que l’appelante soit mandatée par l’intimé, le contenu d’un tel accord voulu par les parties, notamment sur ses éléments essentiels, n’est pas davantage établi.</w:t>
      </w:r>
    </w:p>
    <w:p>
      <w:r>
        <w:t>- 20 - S’agissant de cette deuxième partie de leur prétendue collaboration, l’appelante fait toutefois valoir la teneur d’un courriel de sa part du 20 novembre 2014 (pièce 10 du bordereau du 7 février 2018) dans lequel elle fait référence « au mandat que vous nous avez confié ». Un tel courriel, envoyé par un dénommé « Courtage service », ne saurait suffire à établir, en fait, l’existence d’une volonté réelle et concordante préalable des parties de conclure un tel mandat, jamais mentionné sinon et dont au demeurant, on ne sait rien, ni son objet, ni sa rémunération. La mention de « la commission contractuelle due selon les usages en vigueur dans notre profession » n’est ici d’aucun secours pour l’appelante, faute à nouveau de savoir sur quoi portait le prétendu mandat. L’appelante estime que l’intimé aurait tacitement accepté ce prétendu mandat, dès lors qu’il « demandait des compléments d’informations ainsi que des indications sur le délai attendu pour la concrétisation d’une éventuelle transaction » (cf. appel, p. 9), « la relançait, lui demandant des compléments d’informations et en lien avec les comptes rendus réguliers que celle-ci lui transmettait s’agissant des acheteurs potentiels » (cf. appel, p. 9). L’autorité précédente a retenu qu’il n’était pas établi que les « rapports d’activité » établis le 12 avril 2017 et produits en première instance auraient été communiqués à l’intimé. Le fait d’affirmer le contraire, sans autre élément, ne constitue pas une motivation recevable sur ce point permettant de s’écarter de l’état de fait retenu par l’autorité précédente. Reste donc uniquement le courriel précité du 20 novembre 2014 et la réponse que l’intimé a apportée par courriel également le 23 novembre 2014 (pièce 10 du bordereau du 7 février 2018). Or le premier courriel ne fait état que d’un prétendu envoi, le jour même, à deux personnes distinctes, d’un dossier pour un immeuble mixte, respectivement d’un dossier pour un terrain seul et d’un prétendu mandat, sans autre détail. S’agissant de la réponse de l’intimé, celle-ci ne confirme aucunement la conclusion d’un contrat de mandat avec l’appelante. Le fait qu’il indique être « heureux » de savoir qu’il y a environ cent personnes qui ont reçu une plaquette ne dit rien de son implication dans ce cadre, l’appelante, rappelons-le, ayant voulu valoriser</w:t>
      </w:r>
    </w:p>
    <w:p>
      <w:r>
        <w:t>- 21 - pour son compte la parcelle. Le fait, dans ces circonstances, que l’intimé demande à l’appelante s’il serait « possible d’avoir une petite idée des retours d’intérêt de ces personnes » en justifiant cette demande par son besoin d’« informer les maîtres d’œuvre pour [leur] projet de construction qui est lié à la vente » , montre au demeurant bien que l’intimé n’estime pas avoir de droit d’information qui lui serait nécessairement revenu s’il se savait le mandant de l’appelante du fait d’une relation contractuelle entre eux, le mandataire devant informer le mandant de manière complète et véridique et lui remettre tous les documents concernant les affaires traitées dans l'intérêt de son cocontractant (cf. TF 4A_599/2019 du 1er mars 2021 consid. 5). A tout le moins ne peut-on interpréter le courriel du 23 novembre 2014 comme une volonté réelle de l’intimé, agriculteur de profession, d’accepter l’offre d’un mandat de la part de l’appelante. L’absence de contestation du mandat annoncé entre autres choses dans le courriel du 20 novembre 2014 ne saurait dès lors être interprétée subjectivement comme une acceptation tacite de celui-ci par l’intimé, faute de tout autre élément. En pareilles circonstances et au vu des montants finalement en jeu, on ne saurait effectivement admettre la conclusion d’un contrat de courtage immobilier sur le seul courriel du courtier intéressé à pouvoir bénéficier de l’affaire – courriel au demeurant particulièrement peu explicite – et sur l’absence de contestation du potentiel client de la société de courtage. Au demeurant, une fois encore, même à admettre par impossible un accord de l’intimé avec le mandat évoqué dans le courrier du 20 novembre 2014, que cela n’établirait toujours ni la teneur des prestations convenues, ni leur caractère onéreux et, si celui-ci avait été admis, la rémunération convenue ou due et les conditions auxquelles cette rémunération aurait été due.</w:t>
      </w:r>
    </w:p>
    <w:p>
      <w:r>
        <w:rPr>
          <w:b/>
        </w:rPr>
        <w:t>E. 4.4.3</w:t>
      </w:r>
    </w:p>
    <w:p>
      <w:r>
        <w:t>L’appelante invoque encore qu’un acquéreur a été trouvé par elle en la personne de R.________ Le témoignage de R.________ contient une seule date, soit celle de 2015 où il a fait affaire, sans autre précision, avec l’appelante. Cette seule mention devait imposer une réticence dans la valeur probante à</w:t>
      </w:r>
    </w:p>
    <w:p>
      <w:r>
        <w:t>- 22 - donner à ce témoignage, qui plus est pour quelqu’un qui s’avère également travailler dans le domaine de l’appelante (sur l’appréciation des témoignages : cf. not. CACI 25 mai 2021/244 consid. 3.2.2 et 3.2.3). L’appelante se réfère également à la pièce 14 du bordereau du 7 février 2018, soit à un courriel où R.________ indique, non pas le 17 janvier 2017, mais le 17 janvier 2018, après un entretien téléphonique avec l’associé gérant unique de l’appelante, à l’époque S.________, avoir « eu un intérêt sérieux » à l’achat de la parcelle no 87, sans aucune mention non plus ne serait-ce même que de l’époque où un tel intérêt aurait été éveillé. De tels éléments, dont un courriel envoyé après la délivrance à l’appelante d’une autorisation de procéder contre l’intimé et après un téléphone avec son associé gérant unique, ne permettent pas de donner une quelconque valeur probante aux déclarations de ce témoin. Au demeurant, celui-ci, bien que travaillant dans l’immobilier, a été plus que vague sur son intérêt, la date de visite et le rôle joué par l’appelante, de sorte qu’on ne voit aucunement qu’il puisse établir quoi que ce soit s’agissant de l’existence d’un accord, onéreux, entre les parties relatif à la vente de la parcelle no 87 notamment. Le grief est vain.</w:t>
      </w:r>
    </w:p>
    <w:p>
      <w:r>
        <w:rPr>
          <w:b/>
        </w:rPr>
        <w:t>E. 4.4.4</w:t>
      </w:r>
    </w:p>
    <w:p>
      <w:r>
        <w:t>En définitive, force est de constater que les griefs de constatation inexacte des faits soulevés par l’appelante sont, dans la mesure de leur intelligibilité, infondés. Il convient en particulier de constater, sur la base des éléments factuels retenus par l’autorité précédente, que ces éléments ne permettaient aucunement d’établir que les parties auraient eu la volonté réelle et concordante de conclure un contrat par lequel l’appelante se serait chargée, pour le compte de l’intimé, de valoriser ou de vendre la parcelle no 87 et ce de manière onéreuse. Le seul échange de courriels de novembre 2014 ne permet aucunement de le retenir.</w:t>
      </w:r>
    </w:p>
    <w:p>
      <w:r>
        <w:rPr>
          <w:b/>
        </w:rPr>
        <w:t>E. 4.4.5</w:t>
      </w:r>
    </w:p>
    <w:p>
      <w:r>
        <w:t>L’interprétation objective des manifestations de volonté et des circonstances établies par l’autorité de première instance ne permet pas d’arriver à une autre conclusion.</w:t>
      </w:r>
    </w:p>
    <w:p>
      <w:r>
        <w:t>- 23 - Aucun élément factuel ne permet en effet de retenir, en se fondant sur le principe de la confiance, objectivement, que les parties devraient être considérées comme s’étant accordées pour que l’appelante valorise de manière onéreuse, pour le compte de l’intimé, la propriété, première tâche pour laquelle elle réclame paiement. Le projet de contrat de vente comme le contenu du permis de construire laissent au contraire bien entendre que l’appelante agissait ici pour son propre compte et à ses propres frais. Quant aux services que l’appelante dit avoir ensuite fournis à l’intimé en vue de la vente de sa parcelle, l’interprétation selon le principe de la confiance ne doit prendre en compte que les éléments existant au moment de la conclusion de dit contrat. Or il n’y en a aucun, l’échange de novembre 2014 étant postérieur à dite prétendue conclusion, dès lors que le courriel du 20 novembre 2014 indique « pour faire suite au mandat ». Dans ces conditions, on ne voit pas comment, faute de tout élément déterminant, on pourrait retenir la conclusion d’un contrat de mandat ou de courtage portant sur la vente de la parcelle no 87 avant cette date. Quant à interpréter le courrier du 20 novembre 2014 comme une offre, comme l’a fait l’autorité précédente, son contenu ne le permettait pas, l’appelante n’offrant rien mais confirmant. En outre, la seule réponse à ce courriel, dans sa teneur exposée ci-dessus (cf. supra ch. 4b), par l’intimé, laïc de ce genre d’affaires, ne permet pas de retenir, à elle seule des « circonstances exceptionnelles » telles qu’exigée par la jurisprudence, et notamment l’une des hypothèses visées par celle-ci pour retenir que qui n’aurait dit mot consent ou que le courriel du 24 novembre 2014 devrait objectivement être compris dans le sens que l’intimé avait tacitement accepté le mandat, dont au demeurant le contenu n’est aucunement établi. L’appelante fait encore valoir que l’intimé ne pouvait ignorer que ses services, rendus par une professionnelle, n’étaient pas fournis gratuitement, invoquant à cet égard le principe de la confiance. Cet argument ne saurait être suivi. Comme déjà dit, l’interprétation selon le</w:t>
      </w:r>
    </w:p>
    <w:p>
      <w:r>
        <w:t>- 24 - principe de la confiance interdit de prendre en compte les éléments postérieurs à la conclusion du contrat. Or les services prétendument fournis, dont l’existence n’a quasiment pas été établie, seraient précisément des éléments postérieurs. Pour le surplus, le projet de contrat de vente prévoyait que la valorisation serait faite par l’appelante à ses frais, ce qui interdit objectivement de retenir, car l’appelante serait une professionnelle, que la valorisation aurait dû être faite aux frais de l’intimé. S’agissant des prétendus services fournis dans le cadre du soi- disant mandat ou courtage, ils n’ont pas été établis sauf l’annonce dans un courriel de trois envois de dossiers, de sorte que même pris en considération, ils ne permettraient aucunement de retenir que l’intimé devrait objectivement être considéré comme ayant accepté de se lier à l’appelante par un contrat de mandat, à la teneur qui plus est mystérieuse.</w:t>
      </w:r>
    </w:p>
    <w:p>
      <w:r>
        <w:rPr>
          <w:b/>
        </w:rPr>
        <w:t>E. 4.4.6</w:t>
      </w:r>
    </w:p>
    <w:p>
      <w:r>
        <w:t>Dans ces circonstances, l’autorité précédente a à juste titre, d’une part, refusé de retenir un accord des parties, onéreux, portant sur la promotion de la parcelle ou sa vente et, d’autre part, rejeté en conséquence les prétentions formulées par l’appelante se fondant sur un tel accord. Sa décision ne viole en conséquence pas les 1, 6, 396 et 412 CO ou les règles en matière d’interprétation des manifestations de volonté.</w:t>
      </w:r>
    </w:p>
    <w:p>
      <w:r>
        <w:rPr>
          <w:b/>
        </w:rPr>
        <w:t>E. 5.1</w:t>
      </w:r>
    </w:p>
    <w:p>
      <w:r>
        <w:t>Au vu de ce qui précède, l’appel doit être rejeté et le jugement entrepris confirmé.</w:t>
      </w:r>
    </w:p>
    <w:p>
      <w:r>
        <w:rPr>
          <w:b/>
        </w:rPr>
        <w:t>E. 5.2</w:t>
      </w:r>
    </w:p>
    <w:p>
      <w:r>
        <w:t>Les frais judiciaires de deuxième instance, arrêtés à 2'424 fr. (art. 62 al. 1 TFJC [tarif des frais judiciaires civils du 28 septembre 2010 ; BLV 270.11.5]), seront mis à la charge de l’appelante qui succombe (art. 106 al. 1 CPC).</w:t>
      </w:r>
    </w:p>
    <w:p>
      <w:r>
        <w:rPr>
          <w:b/>
        </w:rPr>
        <w:t>E. 5.3</w:t>
      </w:r>
    </w:p>
    <w:p>
      <w:r>
        <w:t>Au vu de l’issue du litige, l’appelante V.________ (substituée ex lege à S.________) doit verser à l’intimé la somme de 5'000 fr. (art. 7 TDC [tarif des dépens en matière civile du 23 novembre 2010 ; BLV 270.11.6])</w:t>
      </w:r>
    </w:p>
    <w:p>
      <w:r>
        <w:t>- 25 - à titre de dépens de deuxième instance. Au regard de l’ampleur de la réponse, de la nature de la cause et de la connaissance du dossier de première instance par le conseil de l’intimé, la somme de 10'000 fr. invoquée est clairement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