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PT18.001176 vom 16. Mai 2024</w:t>
      </w:r>
    </w:p>
    <w:p>
      <w:r>
        <w:t>VD Tribunal cantonal, 2024-05-16, FR</w:t>
      </w:r>
    </w:p>
    <w:p>
      <w:r>
        <w:rPr>
          <w:b/>
        </w:rPr>
        <w:t xml:space="preserve">Quelle: </w:t>
      </w:r>
      <w:r>
        <w:t>https://mcp.opencaselaw.ch/entscheid/vd_gerichte_PT18.001176</w:t>
      </w:r>
    </w:p>
    <w:p>
      <w:r>
        <w:t>FR: VD_GERICHTE PT18.001176 du 16 mai 2024</w:t>
      </w:r>
    </w:p>
    <w:p>
      <w:r>
        <w:t>IT: VD_GERICHTE PT18.001176 del 16 maggio 2024</w:t>
      </w:r>
    </w:p>
    <w:p>
      <w:pPr>
        <w:pStyle w:val="Heading2"/>
      </w:pPr>
      <w:r>
        <w:t>Erwägungen</w:t>
      </w:r>
    </w:p>
    <w:p>
      <w:r>
        <w:rPr>
          <w:b/>
        </w:rPr>
        <w:t>E. 21</w:t>
      </w:r>
    </w:p>
    <w:p>
      <w:r>
        <w:t>Les 9 et 22 juin 2021, l’intimé a requis du notaire [...] de requérir le transfert de propriété auprès du registre foncier, lequel avait dans un premier temps refusé de l'exécuter estimant nécessaire d'obtenir le consentement de l'épouse de l’appelant.</w:t>
      </w:r>
    </w:p>
    <w:p>
      <w:r>
        <w:rPr>
          <w:b/>
        </w:rPr>
        <w:t>E. 22</w:t>
      </w:r>
    </w:p>
    <w:p>
      <w:r>
        <w:t>Le 3 décembre 2021, à la requête des parties, l'expert a déposé un rapport complémentaire. Il a exposé que l'indemnité due par l’appelant à l’intimé pour la période du 1er mai 2014 au 27 février 2020 était de 2’400 fr. par mois. Il a estimé que le revenu locatif, abstraction faite de l'appartement de G.J.________, s'élevait à 4'803 fr. et que l’appelant en devait la moitié à l’intimé, les parties étant copropriétaires, chacune pour une demie, de l'immeuble.</w:t>
      </w:r>
    </w:p>
    <w:p>
      <w:r>
        <w:rPr>
          <w:b/>
        </w:rPr>
        <w:t>E. 23</w:t>
      </w:r>
    </w:p>
    <w:p>
      <w:r>
        <w:t>a) Par requête du 12 janvier 2022 en modification de la demande, l’intimé a conclu, avec suite de frais, à ce que l’appelant soit reconnu son débiteur et lui doive immédiat paiement d'un montant de 105'600 fr., avec intérêts à 5 % l'an dès le 8 janvier 2018, à titre d'indemnité pour occupation de sa part de copropriété dans la maison familiale, pour la période comprise entre le 1er mai 2014 et le 31 décembre 2017 (I), à ce qu’à partir du 1er janvier 2018 et ce jusqu’au</w:t>
      </w:r>
    </w:p>
    <w:p>
      <w:r>
        <w:rPr>
          <w:b/>
        </w:rPr>
        <w:t>E. 27</w:t>
      </w:r>
    </w:p>
    <w:p>
      <w:r>
        <w:t>février 2020 au 30 septembre 2020, une somme qui n'est pas inférieure à 4'845 fr. par mois indexée à un taux de 1.5 % l'an dès le 27 février 2020 avec intérêt à 5 % l'an dès chaque échéance mensuelle ». Dans le cadre de son mémoire de novas, l'intimé a formulé de nouveaux allégués et réquisitions de preuve, qui sont en lien avec la vente de l'immeuble de [...], intervenue entre les parties le 27 janvier 2020, qui sont donc postérieurs à l'échange d'écritures et qui ne pouvaient par conséquent être allégués et requis lors du double échange d'écritures. 3.3 Par ailleurs, quand bien même on devrait retrancher du dossier l'expertise judiciaire effectuée par Laurent Vago, comme demandé par l'appelant, le montant de la contrepartie due par ce dernier devrait alors être calculée sur la base de l'expertise privée établie le 29 juin 2007 par [...] (cf. pièce no 10). Celle-ci établit comme suit l'état locatif de l'immeuble Appartement triplex + jardin 2’700 fr. Appartement 2 pièces au rez 1'300 fr. Appartement petite maison 1'500 fr. 3 places de parc extérieures 150 fr. 5'700 Total état locatif fr./mois Selon les faits non contestés en appel, l'appelant occupe 85 % de la surface utile, de sorte que l'indemnité due s'élèverait mensuellement à 2'422 fr. 50, montant qui est supérieur à celui retenu par la Chambre patrimoniale sur la base de l'expertise judiciaire.</w:t>
      </w:r>
    </w:p>
    <w:p>
      <w:r>
        <w:t>- 20 - En conclusion, le grief doit être rejeté. 4. Invoquant une violation de la maxime des débats (art. 55 CPC et 8 CC), l'appelant reproche aux premiers juges d'avoir retenu l'existence d'une convention ou d'un règlement de copropriété selon lequel il devrait s'acquitter d'un quelconque montant, alors que l'intimé n'a jamais allégué ni prouvé l'existence d'une telle convention. Au contraire, ce dernier a allégué que l'appelant refusait de compenser son frère pour l'occupation qu'il faisait de la copropriété et de signer un règlement de copropriété. L'intimé relève avoir allégué à satisfaction de droit que l’appelant savait et admettait qu'il ne pouvait utiliser l'entier de l'immeuble sans contrepartie financière et que les parties s'étaient entendues tacitement sur l'utilisation de l'immeuble de [...]. 4.1 Dans les procès soumis à la maxime des débats, les parties supportent le fardeau de l'allégation subjectif des faits pertinents (premier principe ; art. 55 al. 1 CPC), le juge n'ayant qu'un devoir d'interpellation limité selon l'art. 56 CPC. Cette maxime délimite les rôles respectifs, d'une part, des parties et, d'autre part, du juge. Il incombe donc aux parties, et non au juge, de réunir les éléments du procès. Le juge peut ainsi se baser, pour statuer, sur tous les faits allégués par les parties, sans égard à la personne de l'alléguant (demandeur ou défendeur) ; autrement dit, il suffit que les faits fassent partie du cadre du procès pour que le juge puisse en tenir compte. La partie qui supporte le fardeau de la preuve selon, en principe, la règle générale de l'art. 8 CC, supporte, sauf exceptions, également le fardeau de l'allégation objectif. Si un fait pertinent n'a pas été allégué par elle ou par sa partie adverse, il ne fait pas partie du cadre du procès et le juge ne peut pas en tenir compte, ni ordonner l'administration de moyens de preuve pour l'établir. La partie qui supporte les fardeaux de l'allégation objectif et de la preuve d'un fait supporte l'échec de l'allégation, respectivement de la preuve de ce fait. Cette partie a donc toujours intérêt à alléguer elle-même tous les faits justifiant sa</w:t>
      </w:r>
    </w:p>
    <w:p>
      <w:r>
        <w:t>- 21 - prétention, ainsi qu'à indiquer au juge les moyens propres à les établir (TF 4A_566/2020 du 27 septembre 2021 consid. 5.2.1 et 5.2.2 ; TF 4D_47/2022 du 17 novembre 2022 consid. 4.1). 4.2 Dans le cadre de ses écritures, l'intimé a allégué que l'appelant occupait une surface équivalente à 85 % de la surface totale de l'immeuble de [...] (all. 12), que depuis le 1er mai 2014, il jouissait d'un espace important dans la maison familiale, copropriété des parties (all. 16), qu'il s'était vu signifier à plusieurs reprises qu'il ne pouvait occuper l'entier de l'immeuble sans contrepartie financière (all. 13, 17 à 70 et 71), que le défendeur était à ce jour débiteur du demandeur d'une indemnité importante pour l'occupation de sa part de copropriété depuis le 1er mai 2014 (all. 20), qu'un règlement de copropriété devait régir les rapports et charges entre les parties (all. 77), que le défendeur n'avait toutefois pas signé le projet de règlement qui prévoyait que l'usage et la jouissance de l'immeuble était laissé au défendeur en contrepartie d'une indemnisation mensuelle versée au demandeur (all. 79), que le demandeur avait fait notifier un commandement de payer au défendeur pour les montants dus en raison de l'occupation et de la jouissance de sa part de copropriété (all. 82) et qu'il était en droit de réclamer une juste compensation pour l'usage indu de sa part de copropriété (all. 91). Pour sa part, l'appelant a allégué que l'intimé ne s'était jamais opposé à ce que le défendeur occupât l'immeuble dont ils étaient copropriétaires (all. 94) et qu'il n'avait jamais été convenu qu'il dût verser quoi que ce soit au demandeur pour l'occupation de la maison (all. 96). Il résulte des allégués précités et d'ailleurs également des pièces produites que les positions des parties sont divergentes, à savoir que l'intimé accepte que l'appelant occupe plus de 50 % de l'immeuble mais uniquement en contrepartie d'une indemnité, alors que ce dernier estime qu'il peut occuper les lieux sans contrepartie financière. Il résulte également des allégués de l'intimé que l'appelant refuse de compenser son frère pour l'occupation qu'il fait de la copropriété et de signer un</w:t>
      </w:r>
    </w:p>
    <w:p>
      <w:r>
        <w:t>- 22 - règlement de copropriété. Ainsi, il n'y a effectivement jamais eu d'accord entre les parties, celui-ci n'ayant en définitive ni été allégué, ni prouvé. 5. Invoquant une violation des art. 1, 2 et 18 CO, l'appelant reproche aux premiers juges d'avoir retenu l'existence d'un accord entre les parties prévoyant que la jouissance était laissée au défendeur, celui-ci s'engageant à verser une contrepartie au demandeur. Il souligne que la contre-prestation, soit le montant de l'indemnité pour l'occupation des locaux, est un élément essentiel du contrat, qu'en l'espèce aucun droit d'usage particulier n'a été fixé, sa part portant donc sur l'intégralité du bien, qu'il pouvait donc utiliser la totalité du bien et qu'il n'a jamais accepté de s'acquitter d'une indemnité envers l'intimé. L'intimé explique n'avoir jamais autorisé son frère à occuper l'entier du bien immobilier sans contrepartie financière, l'avoir interpellé à de multiples reprises et durant une longue période pour qu'il l'indemnise à juste titre pour l'occupation faite de l'entier de l'immeuble et que l'appelant ne pouvait ainsi légitimement penser qu'il pouvait demeurer dans l'immeuble à titre gratuit. Il considère que l'interprétation du comportement de l'appelant, qui a continué à occuper l'immeuble tout en sachant que l'intimé entendait recevoir une contrepartie, démontre que les parties se sont entendues, tacitement sur un règlement d'utilisation de l'immeuble dans lequel l'appelant devait compenser l'intimé pour l'occupation du logement. 5.1 5.1.1 Règlement d'utilisation entre copropriétaires La copropriété est la forme de propriété collective qui n'exige pas l'existence d'une communauté antérieure entre les propriétaires collectifs et dans laquelle chaque titulaire a une part idéale de la chose (art. 646 al. 1 CC). Il s'agit d'un droit de propriété unique, dont plusieurs personnes sont titulaires. La part du copropriétaire est en général exprimée en fraction (quote-part). Chaque part ne correspond pas à une</w:t>
      </w:r>
    </w:p>
    <w:p>
      <w:r>
        <w:t>- 23 - partie déterminée du bien en copropriété ; au contraire, chacun des copropriétaires a un droit qui porte sur la totalité de ce bien, mais qui est limité par l'existence du droit des autres copropriétaires (TF 5A_11/2015 du 13 mai 2015 consid. 2.4.1). Aux termes de l'art. 648 al. 1 2e phr. CC, chaque copropriétaire jouit de la chose et en use dans la mesure compatible avec le droit des autres. Ce droit d'usage et de jouissance est déterminé par la quote-part (art. 646 al. 3 CC). 5.1.1.1 Les copropriétaires peuvent régler l'utilisation de l'objet détenu en copropriété par le biais du règlement d'utilisation et d'administration (art. 647 al. 1 CC). Par ce règlement, ou par une décision décidant de modifier celui-ci, les copropriétaires peuvent prévoir le rattachement d'un droit d'usage particulier ou droit préférentiel à certaines quotes-parts, droit qui permet aux copropriétaires concernés d'administrer, d'utiliser et de jouir exclusivement d'espaces déterminés du bâtiment ou des surfaces détenus en copropriété (TF 5A_44/2011 du 27 juillet 2011 consid. 5.1.1). Il en résulte une distinction entre les parties qui sont objets de droits préférentiels de celles qui demeurent communes (TF 5A_44/2011 précité consid. 5.1.1). Le droit préférentiel est un droit personnel (TF 5A_44/2011 précité consid. 5.1.2 et réf. citée). Il produit néanmoins certains effets caractéristiques des droits réels dans la mesure où le copropriétaire, empêché ou gêné par un autre dans l'exercice de son droit préférentiel, est troublé dans sa propriété. Il dispose ainsi des actions pétitoires et possessoires, de même que des actions en dommages-intérêts ou en enrichissement illégitime (TF 5A_44/2011 précité consid. 5.1.2 et réf. citées). Le règlement d'utilisation et d'administration établi par les copropriétaires constitue un contrat, qui présente des caractéristiques propres aux contrats de sociétés (TF 5A_380/2013 du 19 mars 2014 consid. 3.1 ; 5A_44/2011 précité consid. 5.2.1 et réf. citées). Lorsqu'il</w:t>
      </w:r>
    </w:p>
    <w:p>
      <w:r>
        <w:t>- 24 - attribue des droits préférentiels, il détermine ainsi les relations réciproques des copropriétaires entre eux pour la durée de la copropriété (TF 5A_44/2011 précité consid. 5.2.1). S'il n'est pas soumis à une forme particulière, il doit toutefois revêtir la forme écrite si les copropriétaires souhaitent le mentionner au registre foncier (ATF 94 Il 17 consid. 3 ; TF 5A_380/2013 précité consid. 3.1 ; 5A_44/2011 consid. 5.2.1 et réf. citées). Le règlement d'utilisation et d'administration doit être approuvé à l'unanimité des copropriétaires (ATF 103 lb 76 consid. 3 ; TF 5A_380/2013 précité consid. 3.3.1 ; 5A_44/2011 précité consid. 5.2.1 et réf. citées). 5.1.1.2 La question de savoir si les parties ont conclu un accord est soumise au principe de la priorité de la volonté subjective sur la volonté objective (ATF 144 III 93 consid. 5.2.1 ; ATF 123 III 35 consid. 2b, JT 1997 1 322). Lorsque les parties se sont exprimées de manière concordante, qu'elles se sont effectivement comprises et, partant, ont voulu se lier, il y a accord de fait ; si au contraire, alors qu'elles se sont comprises, elles ne sont pas parvenues à s'entendre, ce dont elles étaient d'emblée conscientes, il y a un désaccord patent et le contrat n'est pas conclu. Subsidiairement, si les parties se sont exprimées de manière concordante, mais que l'une ou les deux n'ont pas compris la volonté interne de l'autre, ce dont elles n'étaient pas conscientes dès le début, il y a désaccord latent et le contrat est conclu dans le sens objectif que l'on peut donner à leurs déclarations de volonté selon le principe de la confiance ; en pareil cas, l'accord est de droit (ou normatif) (ATF 144 III 93 consid. 5.2.1 ; ATF 123 III 35 consid. 2b). Aux termes de l'art. 18 al. 1 CO,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Cette disposition privilégie la volonté véritable des parties, au détriment des expressions qu'elles ont pu utiliser</w:t>
      </w:r>
    </w:p>
    <w:p>
      <w:r>
        <w:t>- 25 - (Winiger Bénédict, Commentaire romand du Code des obligations l, n. 1 ad art. 18 CO). En procédure, le juge doit donc rechercher, dans un premier temps, la réelle et commune intention des parties (interprétation subjective), le cas échéant empiriquement, sur la base d'indices (ATF 132 III 268 consid. 2.3.2, JT 2006 1 564 ; ATF 132 III 626 consid. 3.1, JT 2007 1 423 ; ATF 131 III 606 consid. 4.1).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(ATF 144 III 93 consid. 5.2.2). Le fardeau de l'allégation et le fardeau de la preuve de l'existence et du contenu d'une volonté subjective est à la charge de la partie qui s'en prévaut (TF 4A_458/2016 du 29 mars 2017 consid. 4.1).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D'après ce principe, la volonté interne de s'engager du déclarant n'est pas seule déterminante ; une obligation à sa charge peut découler de son comportement, dont l'autre partie pouvait, de bonne foi, déduire une volonté de s'engager. Le principe de la confiance permet ainsi d'imputer à une partie le sens objectif de sa déclaration ou de son</w:t>
      </w:r>
    </w:p>
    <w:p>
      <w:r>
        <w:t>- 26 - comportement, même si celui-ci ne correspond pas à sa volonté intime (ATF 144 III 93 consid. 5.2.3 ; ATF 131 III 606 consid. 4.1 ; ATF 130 III 417 consid. 3.2). La détermination de la volonté objective des parties, selon le principe de la confiance, est une question de droit. Pour la trancher, il faut se fonder sur le contenu des manifestations de volonté et sur les circonstances. Les circonstances déterminantes à cet égard sont celles qui ont précédé ou accompagné la manifestation de volonté, à l'exclusion des événements postérieurs (ATF 144 III 93 consid. 5.2.3 ; ATF 133 III 61 consid. 2.2.1). 5.1.2 Rapport contractuel de fait La jurisprudence retient la construction d'un rapport contractuel de fait, lorsqu'une partie obtient une prestation qu'elle savait ne devoir être fournie que contre paiement. Ainsi, le Tribunal fédéral admet que celui qui utilise dans son propre intérêt une prestation qui lui a été fournie, et qui ne l'est ordinairement que contre rémunération, doit effectuer une contre-prestation selon les principes applicables aux contrats, même si cette contre-prestation n'avait pas encore été stipulée et n'était donc pas déterminée au moment où la prestation a été fournie. Dans ce cas, l'utilisation de la prestation supplée le défaut d'accord au sujet de la contre-prestation. C'est là une conséquence de l'application correcte du principe de la confiance : une partie est liée, non pas parce qu'elle avait une certaine volonté interne, mais parce qu'elle a adopté un comportement dont l'autre partie pouvait de bonne foi déduire une certaine volonté (ATF 119 Il 40 consid. 2d ; TF 4A_42/2010 du 19 mars 2010 consid. 2.1 ; Chappuis, Commentaire Romand, Code des obligations I, Art. 1-252 CO [ci-après : CR CO I], 3e éd. 2021, n. 56 ad art. 62 CO). Le Tribunal fédéral a rappelé que cette construction juridique s’appliquait également lorsqu’une partie obtenait sans bourse délier une prestation qu’elle savait ne devoir être fournie que contre paiement, cela après avoir été vainement invitée à verser une indemnité (ATF 119 II 437 consid. 3b/bb).</w:t>
      </w:r>
    </w:p>
    <w:p>
      <w:r>
        <w:t>- 27 - Ainsi, celui qui, dans le cadre de pourparlers visant à la conclusion d'un contrat d'entreprise totale, demande à un entrepreneur d'effectuer une étude préliminaire allant bien au-delà des travaux nécessaires à l'établissement d'une simple offre, afin d'évaluer le coût de la construction projetée, étude dont il sait ou doit savoir qu'elle n'est effectuée en règle générale que moyennant finance, ne peut pas se soustraire à son obligation de rémunérer l'entrepreneur en faisant valoir qu'il n'a finalement pas accepté l'offre globale faite par ce dernier. A défaut d'une réserve claire sur ce point, l'entrepreneur peut, au contraire, partir de l'idée qu'il sera rétribué pour un tel travail, quand bien même la réalisation de l'ouvrage ne lui serait pas confiée. Ce principe s'applique en tout cas sans restriction lorsque, avec l'accord de l'auteur du projet, celui qui l'a commandé l'utilise à des fins personnelles, en tire profit et ne le restitue pas. Ce faisant, le destinataire de la prestation noue en effet, par actes concluants, une relation contractuelle avec la personne qui la lui a fournie. Si cette prestation – comme c'est le cas pour l'établissement de plans – forme l'objet d'un contrat d'entreprise, la contre-prestation est régie par l'art. 374 CO. En pareille hypothèse, le destinataire de la prestation ne peut pas éluder son obligation de la rémunérer en exprimant simplement son refus de le faire au moment où il s'apprête à s'en servir, sauf à commettre un abus de droit manifeste (art. 2 CC). En revanche, si la prestation est utilisée sans le consentement de son auteur, la rémunération de celui-ci a pour fondement juridique les règles sur l'enrichissement illégitime ou sur la gestion d'affaires improprement dite (ATF 119 Il 40 consid. 2d, qui renvoie au consid. 2b in fine du même arrêt). En d’autres termes, celui qui utilise dans son propre intérêt une prestation d’autrui qui ne lui était pas destinée ou qui ne lui a pas été fournie dans ce but-là devra indemniser l’auteur de ladite prestation conformément aux règles de l’enrichissement illégitime (art. 62 CO) ou la gestion d’affaires imparfaite (art. 423 CO) (ATF 119 II 40 consid. 2b). 5.2 L'autorité de première instance a constaté, d'une part, que le demandeur n'avait jamais laissé penser au défendeur, pendant plusieurs années, qu'il pourrait jouir gratuitement de l'immeuble n° [...] de la commune de [...] dont les parties sont copropriétaires. Certes, le</w:t>
      </w:r>
    </w:p>
    <w:p>
      <w:r>
        <w:t>- 28 - demandeur avait signé l'acte notarié du 29 avril 2014 prévoyant expressément la fin du contrat de bail entre le défendeur et l'hoirie et avait également déclaré en procédure avoir été conscient à ce moment-là que le défendeur et sa famille continueraient d'habiter dans l'immeuble n° [...] de la commune de [...]. Reste qu'il ne pouvait être retenu que le demandeur avait attendu plus de trois ans pour réclamer une indemnité. En effet, il avait fait notifier au défendeur un commandement de payer la somme de 37’520 fr. le 11 juin 2015, soit un peu plus d'une année après la donation. Ce commandement de payer précisait expressément que ce montant correspondait à une indemnité pour l'occupation et la jouissance par le défendeur de la part de copropriété du demandeur. La Chambre patrimoniale a constaté, d'autre part, que le défendeur, qui payait un loyer à son père, puis à l'hoirie de celui-ci, ne pouvait raisonnablement penser qu'il était en droit d'occuper l'entier de l'immeuble n° [...] de la commune de [...], à l'exception du droit d'habitation de G.J.________, alors qu'il n'était propriétaire que de la moitié, et cela sans verser une contrepartie au demandeur. En effet, aucun élément du dossier ne permettait de penser que le demandeur aurait voulu faire cadeau au défendeur du loyer qu'il payait par le passé. En outre, même s'il avait refusé de signer le projet de règlement d'utilisation établi par le notaire [...], le défendeur avait eu connaissance de celui-ci au moment où le contrat de bail avait pris fin et avait dû, de ce fait, comprendre qu'il n'était pas en droit d'habiter gratuitement dans la maison familiale. Ainsi, en interprétant le comportement du défendeur, qui avait continué d'occuper l'immeuble alors qu'il savait que le demandeur entendait recevoir une contrepartie, on pouvait lui imputer la volonté objective de payer une indemnité au demandeur. Au regard de ces éléments, la Chambre patrimoniale a jugé que les parties avaient conclu un accord prévoyant que la jouissance de l'immeuble n° [...] de la commune de [...] était laissée au défendeur, celui- ci s'engageant à verser une contrepartie au demandeur.</w:t>
      </w:r>
    </w:p>
    <w:p>
      <w:r>
        <w:t>- 29 - 5.3 L'intimé a expliqué que l'appelant avait refusé de signer un règlement de copropriété comme il le lui avait demandé et de trouver un quelconque arrangement avec lui. Quant à l'appelant, il a toujours refusé de payer quoi que ce soit à son frère, pour l'occupation de l'immeuble, estimant qu'il disposait d'un droit préférentiel sur celui-ci, sans contrepartie financière. Ainsi, les parties ne se sont jamais entendues sur le principe et le coût éventuel relatif à l'usage de l'immeuble de [...]. Reste que l’intimé était d’accord que son frère occupe l’immeuble, mais cela en échange d’une contre-prestation et non gratuitement, et que l'appelant savait que l'occupation qu'il faisait de cet objet ne pouvait l'être sans contrepartie, compte tenu des éléments suivants. - L’appelant a lui-même expliqué s’acquitter d’un loyer mensuel de 2'000 fr., puis de 2'500 fr. à feu son père alors qu’avec sa famille, il habitait l’immeuble familial avec ses parents (cf. supra ch. 2 2e §). - Feu son père l’avait confirmé à Me [...], le 8 octobre 2007, en relevant que son fils devrait payer un loyer même s’il était propriétaire d’un quart de l’immeuble puisqu’il en occupait plus de la moitié (cf. supra ch. 4). - Le 23 décembre 2011, alors qu’il occupait 85 % de la surface utile de l’immeuble à la suite du décès de son père, Me [...] a invité l’appelant à payer les loyers des mois de novembre, décembre et janvier en précisant que « […], aussi longtemps que le partage n’est pas intervenu, ces loyers restent dus. » (cf. supra ch. 6). - S'agissant des frais liés à l'immeuble, il résulte des faits non contestés que l'intimé s'acquitte de la moitié des intérêts hypothécaires et de la moitié des charges de l'assurance-incendie et de l'impôt foncier.</w:t>
      </w:r>
    </w:p>
    <w:p>
      <w:r>
        <w:t>- 30 - - Jusqu’à la signature de l’acte de donation notarié du 29 avril 2014, l’appelant a payé la somme de 2'500 fr. à la succession du défunt (cf. supra ch. 8 3e §). - Cet acte notarié du 29 avril 2014 prévoit que « le bail entre B.J.________ et la communauté héréditaire prend fin de facto », alors que le projet de cet acte rédigé le 4 décembre 2013 et mis à jour le 8 avril 2014 prévoyait que le bail en faveur de l’appelant continuait sans changement (cf. supra ch. 8 2e §). - Après la donation de la part d'immeuble par G.J.________ aux parties, un projet de règlement de copropriété a été préparé par un notaire. Ce projet prévoyait que la jouissance de l'immeuble était laissée à l'appelant, sous réserve du droit d'habitation concédé en faveur de G.J.________, en contrepartie d'une indemnisation mensuelle de 2'680 fr. versée à l'intimé. Il prévoyait en outre que l'appelant s'engageait à supporter les charges d'électricité, de chauffage, d'eau chaude, relatives à la part de l'immeuble qu'il occupait et que les intérêts hypothécaires et les amortissements étaient à la charge des parties proportionnellement à leur quote-part (cf. pièce n° 22). L'appelant a refusé de signer ce projet (cf. supra ch. 8 3e §). - Par courrier du 2 juin 2015, l'avocat de l'intimé a notamment écrit ce qui suit à la partie adverse : « ...mon client n'est pas prêt à renoncer aux prétentions légitimes déjà maintes fois formulées, notamment concernant les montants liés aux espaces supplémentaires occupés par B.J.________ dans la maison familiale... ». - Le 11 juin 2015, l'Office des poursuites du district de Morges a notifié, à l'appelant, sur requête de l'intimé, un commandement de payer la somme de 37'520 fr., avec intérêt à 5 % l'an dès le 1er novembre 2014. Le titre de la créance ou cause de l'obligation est libellé comme suit : « Montants dus pour l'occupation et les jouissances par B.J.________ de la part de copropriété de F.J.________ » (cf. pièce n° 23). Le 10 juin 2016, l'Office des poursuites du district de Morges a notifié, à l'appelant, sur</w:t>
      </w:r>
    </w:p>
    <w:p>
      <w:r>
        <w:t>- 31 - requête de l'intimé, un nouveau commandement de payer (cf. pièce n° 9) (cf. supra ch. 10 et 12). Ainsi, il résulte clairement de ces éléments que l'appelant a occupé l'immeuble tout en sachant que l'utilisation qu'il en faisait ne pouvait l'être que contre paiement, même si cette contre-prestation n’avait pas encore été stipulée et n’était pas encore déterminée au moment où la prestation a été fournie. Malgré la fin du bail entre l’appelant et la communauté héréditaire à la suite de la signature de l’acte notarié du 29 avril 2014, l’appelant savait que l’intimé acceptait qu’il continue à occuper l’immeuble familial uniquement contre une contrepartie financière, puisque le projet du même acte notarié avait prévu que le bail en sa faveur continuait sans changement. Ainsi, si ce projet n’a pas été signé par les parties, l’appelant savait que l’intimé ne consentait pas à ce qu’il occupe l’intégralité de l’immeuble sans lui verser une rémunération pour cette utilisation. L’intimé a d’ailleurs manifesté sa volonté d’obtenir une rémunération de la part de l’appelant en lui faisant notifier des commandements de payer une somme à titre d’occupation de l’immeuble familial. Le fait que l’appelant ait occupé l'intégralité de l'immeuble – et non pas seulement une partie de celui-ci – supplée le défaut d'accord au sujet de la contre-prestation. Comme relevé par la jurisprudence citée ci-dessus, il s'agit là d'une conséquence du principe de la confiance, l'appelant étant lié à l'intimé, au motif qu'il a adopté un comportement dont son frère pouvait de bonne foi déduire une certaine volonté. Ainsi, on doit conclure à l'existence d'un rapport contractuel de fait, l'appelant ayant jouit d'une prestation qu'il savait ne devoir être fournie que contre paiement. 6. Invoquant l'abus de droit, l'appelant explique que l'intimé savait qu'il continuerait d'occuper l'immeuble après la donation de la mère aux parties, qu'il savait également qu'aucun accord n'avait été trouvé quant à la rédaction et à la signature d'un règlement de copropriété, qu'il n'a jamais revendiqué de pouvoir reprendre possession de sa part de copropriété et qu'il a attendu trois ans avant d'ouvrir action.</w:t>
      </w:r>
    </w:p>
    <w:p>
      <w:r>
        <w:t>- 32 - Le moyen est téméraire au regard des éléments exposés au considérant précédent, qui démontrent que l'intimé a été constant sur le fait que son frère ne pouvait occuper l'entier de l'immeuble sans le rémunérer. On peut en revanche relever la mauvaise foi de l'appelant, qui, à titre d'exemples, a déposé plainte, en août 2015, contre l'intimé, pour violation de domicile, après avoir appris que celui-ci s'était introduit chez lui sans son autorisation, et qui n'a finalement jamais quitté l'immeuble malgré son engagement de libérer les locaux en date du 30 septembre 2020. Le grief doit donc être rejeté. 7. 7.1 En conclusion, l’appel doit être rejeté et le jugement querellé confirmé. 7.2 Les frais judiciaires de deuxième instance, arrêtés à 3'590 fr. (art. 62 al. 1 TFJC [tarif des frais judiciaires civils du 28 septembre 2010 ; BLV 270.11.5]), sont mis à la charge de l’appelant qui succombe (art. 106 al. 1 CPC). L’appelant versera à l’intimé la somme de 3'500 fr. (art. 7 TDC [tarif des dépens en matière civile du 23 novembre 2010 ; BLV 270.11.6])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