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PT17.055635 vom 29. Januar 2019</w:t>
      </w:r>
    </w:p>
    <w:p>
      <w:r>
        <w:t>VD Tribunal cantonal, 2019-01-29, FR</w:t>
      </w:r>
    </w:p>
    <w:p>
      <w:r>
        <w:rPr>
          <w:b/>
        </w:rPr>
        <w:t xml:space="preserve">Quelle: </w:t>
      </w:r>
      <w:r>
        <w:t>https://mcp.opencaselaw.ch/entscheid/vd_gerichte_PT17.055635</w:t>
      </w:r>
    </w:p>
    <w:p>
      <w:r>
        <w:t>FR: VD_GERICHTE PT17.055635 du 29 janvier 2019</w:t>
      </w:r>
    </w:p>
    <w:p>
      <w:r>
        <w:t>IT: VD_GERICHTE PT17.055635 del 29 gennaio 2019</w:t>
      </w:r>
    </w:p>
    <w:p>
      <w:pPr>
        <w:pStyle w:val="Heading2"/>
      </w:pPr>
      <w:r>
        <w:t>Erwägungen</w:t>
      </w:r>
    </w:p>
    <w:p>
      <w:r>
        <w:rPr>
          <w:b/>
        </w:rPr>
        <w:t>E. 4</w:t>
      </w:r>
    </w:p>
    <w:p>
      <w:r>
        <w:t>Au vu de ce qui précède, le recours doit être admis et la décision entreprise réformée en ce sens qu’aucune avance de frais n’est demandée à N.________.</w:t>
      </w:r>
    </w:p>
    <w:p>
      <w:r>
        <w:t>- 10 - Vu l'issue du recours, les frais judiciaires de deuxième instance seront laissés à la charge de l'Etat (art. 107 al. 2 CPC) et l'avance de frais versée par la recourante, par 100 fr., lui sera restituée. Il n’y a pas lieu d’allouer de dépens à la recourante, à défaut de partie succombante, l’Etat ne pouvant être considéré comme tel (Colombini, op. cit., nos 7.1 et 7.2 ad art. 107 CPC). Par ces motifs, la Chambre des recours civile du Tribunal cantonal, prononce : I. Le recours est admis. II. La décision est réformée en ce sens qu’aucune avance de frais n’est demandée à N.________. III. Les frais judiciaires de deuxième instance, arrêtés à 100 fr. (cent francs), sont laissés à la charge de l’Etat. IV. L’arrêt est exécutoire. Le président : Le greffier :</w:t>
      </w:r>
    </w:p>
    <w:p>
      <w:r>
        <w:t>- 11 - Du L'arrêt qui précède, dont la rédaction a été approuvée à huis clos, est notifié à : - Me Tony Donnet-Monay (pour N.________), - Me Jeremy Huart (pour F.________). La Chambre des recours civile considère que la valeur litigieuse est de 1'200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