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PT17.041337 vom 20. Dezember 2018</w:t>
      </w:r>
    </w:p>
    <w:p>
      <w:r>
        <w:t>VD Tribunal cantonal, 2018-12-20, FR</w:t>
      </w:r>
    </w:p>
    <w:p>
      <w:r>
        <w:rPr>
          <w:b/>
        </w:rPr>
        <w:t xml:space="preserve">Quelle: </w:t>
      </w:r>
      <w:r>
        <w:t>https://mcp.opencaselaw.ch/entscheid/vd_gerichte_PT17.041337</w:t>
      </w:r>
    </w:p>
    <w:p>
      <w:r>
        <w:t>FR: VD_GERICHTE PT17.041337 du 20 décembre 2018</w:t>
      </w:r>
    </w:p>
    <w:p>
      <w:r>
        <w:t>IT: VD_GERICHTE PT17.041337 del 20 dicembre 2018</w:t>
      </w:r>
    </w:p>
    <w:p>
      <w:pPr>
        <w:pStyle w:val="Heading2"/>
      </w:pPr>
      <w:r>
        <w:t>Erwägungen</w:t>
      </w:r>
    </w:p>
    <w:p>
      <w:r>
        <w:rPr>
          <w:b/>
        </w:rPr>
        <w:t>E. 2.1</w:t>
      </w:r>
    </w:p>
    <w:p>
      <w:r>
        <w:t>L'appel est recevable contre les décisions finales et les décisions incidentes de première instance (art. 308 al. 1 let. a CPC), ainsi que contre les décisions de première instance sur les mesures provisionnelles (art. 308 al. 1</w:t>
      </w:r>
    </w:p>
    <w:p>
      <w:r>
        <w:t>- 4 - let. b CPC), dans les causes non patrimoniales ou dont la valeur litigieuse au dernier état des conclusions est de 10'000 fr. au moins (art. 308 al. 2 CPC). Les autres décisions et ordonnances d’instruction prévues par le CPC ne sont pas sujettes à appel ; certaines d’entre elles sont en revanche susceptibles d’être attaquées par la voie du recours, dans les limites prévues à l’art. 319 let. b CPC (Jeandin, CPC commenté, 2011, n. 11 ad art. 308 CPC). Une décision est finale au sens de l'art. 236 CPC lorsqu'elle met fin à l’instance (au sens procédural), que ce soit par une décision au fond – pour un motif tiré du droit matériel – ou par une décision d'irrecevabilité – pour un motif de procédure (TF 4A_545/2014 du 10 avril 2015 consid. 2.1 ; ATF 134 III 426 consid. 1.1 ; Hohl, Procédure civile, tome I, 2e éd., 2016, n. 2245, p. 374). Une décision est incidente, au sens de l'art. 237 al. 1 CPC, Iorsque I'instance de recours pourrait prendre une décision contraire qui mettrait fin au procès et permettrait de réaliser une économie de temps ou de frais appréciable (TF 4A_545/2014 précité consid. 2.1 ; Jeandin, op. cit., n. 9 ad art. 308 CPC ; Hohl, op. cit., n. 2248, p. 374). Tel est par exemple le cas d’une décision rendue en début de procès selon les art. 125 et 222 al. 3 CPC et rejetant une éventuelle irrecevabilité pour un motif de procédure selon l’art. 59 CPC, ou un moyen libératoire préjudiciel de fond comme la prescription, l’absence de responsabilité ou de faute dans une action en dommage-intérêts (Tappy, CPC commenté, op. cit., n. 3 ad art. 237 CPC).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précité consid. 2.1).</w:t>
      </w:r>
    </w:p>
    <w:p>
      <w:r>
        <w:rPr>
          <w:b/>
        </w:rPr>
        <w:t>E. 2.2</w:t>
      </w:r>
    </w:p>
    <w:p>
      <w:r>
        <w:t>L’art. 125 let. a CPC habilite le tribunal ou le juge instructeur à limiter la procédure à des questions ou à des conclusions déterminées,</w:t>
      </w:r>
    </w:p>
    <w:p>
      <w:r>
        <w:t>- 5 - cela notamment dans la perspective de régler séparément certaines questions de fait ou de droit par une décision incidente selon l’art. 237 CPC. Le juge instructeur a la faculté de limiter la procédure ; même si les parties l’en requièrent et sous réserve d’un abus de son pouvoir d’appréciation, il n’en a aucunement l’obligation. En particulier, l’art. 125 CPC n’exclut pas que le tribunal rende une décision partielle, relative à certaines prétentions, ou incidente, relative à certaines questions de fait ou de droit, alors même que la procédure n’a pas été préalablement ni formellement limitée (TF 4A_142/2014 du 2 octobre 2014 consid. 2, SJ 2015 I 68). Les décisions mentionnées à l’art. 125 CPC sont susceptibles uniquement du recours au sens de l’art. 319 let. b ch. 2 CPC, le recourant devant ainsi montrer qu’elles lui causent un préjudice difficilement réparable, ce qui sera rarement le cas (Haldy, CPC commenté, op. cit., n. 2 ad art. 125 CPC). En particulier, la décision refusant de limiter la procédure à la question de la compétence ratione loci, rendue en application de l’art. 125 let. a CPC, est qualifiée par la jurisprudence cantonale d’« autre décision » au sens de l’art. 319 let. b CPC, de sorte qu’elle doit être attaquée par la voie du recours, le délai de recours étant alors de trente jours (CREC 7 février 2017/60 consid. 1.2 ; cf. voir aussi TF 4A_264/2018 du 7 juin 2018 consid. 3 et 4).</w:t>
      </w:r>
    </w:p>
    <w:p>
      <w:r>
        <w:rPr>
          <w:b/>
        </w:rPr>
        <w:t>E. 2.3</w:t>
      </w:r>
    </w:p>
    <w:p>
      <w:r>
        <w:t>Une fausse indication des voies de droit ne saurait créer une voie de droit inexistante. Dans certains cas, l’autorité incompétente peut en revanche devoir transmettre d’office le recours à l’autorité compétente (ATF 134 I 199 consid. 1.3.1 ; ATF 132 I 92 consid. 1.6 ; ATF 123 II 231 consid. 8b ; ATF 119 IV 330 consid. 1c ; TF 5A_545/2012 du 21 décembre 2012 consid. 5.1). 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w:t>
      </w:r>
    </w:p>
    <w:p>
      <w:r>
        <w:t>- 6 - (TF 5A_494/2015 du 18 janvier 2016 consid. 4.2.5). La pratique des cours de deuxième instance du Tribunal cantonal vaudois admet relativement largement la conversion d’un appel en recours ou inversement, après consultation entre les cours (Colombini, Code de procédure civile, ed. bis &amp; ter, 2018, n. 6.2.3 ad. art. 311 CPC). Il n’y a toutefois pas lieu de convertir l’appel en recours lorsque l’acte déposé ne remplit pas les exigences de recevabilité du recours. Ainsi, il a notamment été jugé que malgré l’indication erronée des voies de droit dans la décision entreprise, une telle conversion ne se justifiait pas lorsque la partie n’invoquait aucun préjudice difficilement réparable au sens de l’art. 319 let. b ch. 2 CPC (CACI 16 août 2016/450 ; cf. voir aussi CACI 19 novembre 2014/599 consid. 4c ; CACI 29 août 2014/457 consid. 1.3).</w:t>
      </w:r>
    </w:p>
    <w:p>
      <w:r>
        <w:rPr>
          <w:b/>
        </w:rPr>
        <w:t>E. 2.4</w:t>
      </w:r>
    </w:p>
    <w:p>
      <w:r>
        <w:t>En l’espèce, contrairement à ce que soutient l’appelante, le premier juge n’a pas admis la compétence ratione loci de la Chambre patrimoniale ; il a uniquement rejeté la requête de l’appelante tendant à limiter la procédure à cette question, estimant que celle-ci devait être tranchée dans le cadre du jugement au fond. En ce sens, la décision entreprise n’est clairement pas finale, puisqu’elle ne met pas fin au procès. Il ne s’agit pas non plus d’une décision incidente, puisqu’elle ne préjuge pas de la recevabilité de la demande et qu’une décision contraire – qui aurait limité la procédure à la question de la compétence – n’aurait donc pas eu d’incidence sur l’existence même du procès, lequel aurait continué, avec des mesures d’instruction, sur cette question. La décision litigieuse doit en réalité s’analyser comme un refus de limiter la procédure à l’examen de la compétence ratione loci, et partant comme un refus de statuer par une décision séparée sur ce point. Or une telle décision, prise en application de l’art. 125 let. a CPC, n’est pas sujette à appel ; elle pouvait uniquement être attaquée par la voie du recours aux conditions de l’art. 319 let. b ch. 2 CPC (cf. supra consid. 2.1.2), étant rappelé que l’indication par le premier juge de la voie de l’appel ne saurait créer une voie de droit inexistante (cf. supra consid. 2.1.3). Il s’ensuit que l’appel est irrecevable.</w:t>
      </w:r>
    </w:p>
    <w:p>
      <w:r>
        <w:t>- 7 -</w:t>
      </w:r>
    </w:p>
    <w:p>
      <w:r>
        <w:rPr>
          <w:b/>
        </w:rPr>
        <w:t>E. 2.5</w:t>
      </w:r>
    </w:p>
    <w:p>
      <w:r>
        <w:t>Dans son acte du 13 septembre 2018, l’appelante – qui est assistée d’un mandataire professionnel – ne conclut pas à la réforme de la décision entreprise, ni même à son annulation, mais à ce que la demande déposée par l’intimée soit déclarée irrecevable. Or dans le cadre d’un recours au sens des art. 319 ss CPC, une telle conclusion serait irrecevable, dès lors qu’elle tend à autre chose qu’à la modification de la décision attaquée. En outre, l’appelante n’expose pas quel préjudice irréparable au sens de l’art. 319 let. b ch. 2 CPC elle pourrait subir, de sorte qu’un recours serait irrecevable pour ce motif également. Dans ces conditions, il n’y a pas lieu à la conversion de l’appel en recours.</w:t>
      </w:r>
    </w:p>
    <w:p>
      <w:r>
        <w:rPr>
          <w:b/>
        </w:rPr>
        <w:t>E. 3</w:t>
      </w:r>
    </w:p>
    <w:p>
      <w:r>
        <w:t>Au vu de ce qui précède, l’appel doit être déclaré irrecevable selon le mode procédural de l’art. 312 al. 1 CPC. Les frais judiciaires de deuxième instance, arrêtés à 2’120 fr. (art. 62 al. 1 TFJC [tarif des frais judiciaires en matière civile du 28 septembre 2010 ; RSV 270.11.5]), seront mis à la charge de l’appelante,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