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PT17.009348 vom 23. Mai 2022</w:t>
      </w:r>
    </w:p>
    <w:p>
      <w:r>
        <w:t>VD Tribunal cantonal, 2022-05-23, FR</w:t>
      </w:r>
    </w:p>
    <w:p>
      <w:r>
        <w:rPr>
          <w:b/>
        </w:rPr>
        <w:t xml:space="preserve">Quelle: </w:t>
      </w:r>
      <w:r>
        <w:t>https://mcp.opencaselaw.ch/entscheid/vd_gerichte_PT17.009348</w:t>
      </w:r>
    </w:p>
    <w:p>
      <w:r>
        <w:t>FR: VD_GERICHTE PT17.009348 du 23 mai 2022</w:t>
      </w:r>
    </w:p>
    <w:p>
      <w:r>
        <w:t>IT: VD_GERICHTE PT17.009348 del 23 maggio 2022</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5A_582/2020 du 7 octobre 2021 consid. 2.1 ; ATF 133 III 201 consid. 4.2). L’art 67 LTF permet au Tribunal fédéral de répartir autrement les frais de la procédure antérieure s’il modifie la décision attaquée. Selon</w:t>
      </w:r>
    </w:p>
    <w:p>
      <w:r>
        <w:t>- 5 -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1.2</w:t>
      </w:r>
    </w:p>
    <w:p>
      <w:r>
        <w:t>En l’espèce, le Tribunal fédéral a définitivement tranché les questions de fond, décision qui lie la cour de céans, et lui a renvoyé la cause pour statuer à nouveau sur les frais et dépens de la procédure cantonale.</w:t>
      </w:r>
    </w:p>
    <w:p>
      <w:r>
        <w:rPr>
          <w:b/>
        </w:rPr>
        <w:t>E. 2.1</w:t>
      </w:r>
    </w:p>
    <w:p>
      <w:r>
        <w:t>L'appelante invoque l'art. 107 let. b et f CPC. Elle fait valoir qu'elle aurait été légitimée à saisir l'autorité, dès lors qu'il était établi qu'elle réalisait les conditions de durée d'activité, d'âge et de proximité de la retraite et qu'il avait été établi qu'il ne lui avait été proposé aucune alternative avant ou après la signification du congé. L'appelante se prévaut du fait que le Tribunal fédéral aurait apporté un « élément nouveau à une jurisprudence en mouvement ». Elle fait également référence à l'équité, se référant à sa situation financière difficile et au chiffre d'affaires du groupe auquel appartient l'intimée. Ces circonstances justifieraient de compenser les dépens et de répartir les frais judiciaires par moitié entre les parties. L'intimée renvoie pour sa part à l'issue de la procédure qui lui serait entièrement favorable, ce qui justifierait de mettre l'entier des frais judiciaires et des dépens des deux instances cantonales à la charge de l'appelante. Elle se réfère en particulier à l'arrêt de renvoi du Tribunal fédéral qui a mis l'entier des frais et dépens à la charge de l'appelante, sans faire usage de la faculté de les répartir autrement.</w:t>
      </w:r>
    </w:p>
    <w:p>
      <w:r>
        <w:rPr>
          <w:b/>
        </w:rPr>
        <w:t>E. 2.2</w:t>
      </w:r>
    </w:p>
    <w:p>
      <w:r>
        <w:t>Les frais – qui comprennent les frais judiciaires et les dépens (art. 95 al. 1 CPC) – sont fixés et répartis d’office (art. 105 CPC), selon le</w:t>
      </w:r>
    </w:p>
    <w:p>
      <w:r>
        <w:t>- 6 -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Selon l’art. 107 al. 1 CPC, le tribunal peut s’écarter des règles générales de répartition de l’art. 106 CPC – qui fait dépendre la répartition du sort de la cause – et répartir les frais selon sa libre appréciation pour tenir compte de circonstances particulières. L’art. 107 CPC, en tant qu’exception, doit cependant être appliqué restrictivement et seulement en cas de circonstances particulières et ne doit pas avoir pour conséquence de vider le principe de l’art. 106 CPC de son contenu (ATF 143 III 106 consid. 4.2.5 ; TF 1C_350/2016 du 2 février 2017 consid. 2.3.2 ; TF 5D_69/2017 du 14 juillet 2017 consid. 3.3.1). L'art. 107 al. 1 let. b CPC prévoit cette faculté lorsque la partie a intenté un procès de bonne foi. Des frais ne peuvent ainsi être mis à la charge de la partie demanderesse, lorsque le tribunal a rendu une décision d’irrecevabilité à la suite d’un changement de jurisprudence (TF 5A_195/2013 du 9 juillet 2013 consid. 3.2.1). De même agit de bonne foi la partie qui se fonde sur une jurisprudence fédérale équivoque, que le Tribunal fédéral a revue dans le cadre de la présente procédure afin de lever l’insécurité juridique constatée (CACI 9 mars 2021/108). L'art. 107 al. 1 let. f CPC prévoit une répartition en équité au vu de circonstances particulières. Cette disposition doit être appliquée restrictivement (TF 5D_69/2017 précité consid. 3.3.1). En soi, une disparité économique des parties ne justifie pas une répartition en équité. Encore faut-il qu'elle soit importante. Tel peut être le cas lorsqu'un petit</w:t>
      </w:r>
    </w:p>
    <w:p>
      <w:r>
        <w:t>- 7 - actionnaire conteste la décision d'une assemblée générale, lorsqu'il agit également dans l'intérêt d'autres actionnaires (ATF 139 III 33 consid. 4.2 ; TF 5A_482/2014 du 14 janvier 2015 consid. 6, RSPC 2015 p. 228).</w:t>
      </w:r>
    </w:p>
    <w:p>
      <w:r>
        <w:rPr>
          <w:b/>
        </w:rPr>
        <w:t>E. 2.3</w:t>
      </w:r>
    </w:p>
    <w:p>
      <w:r>
        <w:t>En l'espèce, l'arrêt de renvoi pose l'absence de tout licenciement abusif du fait que l'employée se trouvait hors délai de protection de l'art. 336c al. 1 let. b CO et que, de ce fait, l'employeur pouvait la licencier en raison de sa maladie, laquelle remettait en cause son aptitude au travail. Dans cet arrêt, le Tribunal fédéral souligne, contrairement à la cour de céans, que la cause n'est « pas similaire » aux arrêts précédemment rendus et auxquels la cour de céans s'était référée. Il ne s'agit dès lors pas, comme le soutient l'appelante, d'un revirement de jurisprudence qui justifierait de répartir les frais en application du principe de la bonne foi, comme le prévoit l'art. 107 let. b CPC. L'appelante se prévaut en outre de circonstances particulières qui justifieraient une répartition en équité en application de l'art. 107 let. f CPC. Or une partie des faits sur lesquels elle se fonde n'a pas été alléguée et ne saurait être ici prise en compte. Par surabondance, l'arrêt de renvoi a mis les frais à la charge de la partie succombante, sans faire usage de la faculté de les répartir autrement (cf. art. 66 al. 1, 2e phr., LTF et 68 al. 1 et 2 LTF). De même, les premiers juges, dans leur jugement – dont la solution sur le fond a été confirmée par l'arrêt de renvoi –, n'ont pas fait usage de l'art. 107 CPC. Ils ont, au contraire, appliqué l'art. 106 CPC, sans que ce point n'ait fait l'objet d'un grief subsidiaire dans le cadre de l'appel. Pour ces motifs, il n'y a pas lieu de revenir sur la répartition des frais de première instance – ceux-ci étant entièrement mis à la charge de l'appelante – ni d'appliquer une autre clé de répartition des frais pour la procédure devant la cour de céans. En définitive, les frais judiciaires et dépens des deux instances cantonales – dont la quotité n'est pas remise en cause – doivent être intégralement mis à la charge de l'appelante qui</w:t>
      </w:r>
    </w:p>
    <w:p>
      <w:r>
        <w:t>- 8 - succombe entièrement, mais provisoirement laissés à la charge de l'Etat (art. 122 al. 1 let. b CPC).</w:t>
      </w:r>
    </w:p>
    <w:p>
      <w:r>
        <w:rPr>
          <w:b/>
        </w:rPr>
        <w:t>E. 3.1</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en particulier être rétribué pour des activités qui ne</w:t>
      </w:r>
    </w:p>
    <w:p>
      <w:r>
        <w:t>- 9 - sont pas nécessaires à la défense des intérêts de l'assisté ou qui consistent en un soutien moral (ATF 109 Ia 107 consid. 3b ; TF 5P.462/2002 du 30 janvier 2003 consid. 2.3). L'avocat doit cependant bénéficier d'une marge d'appréciation suffisante pour déterminer l'importance du travail qu'il doit consacrer à l'affaire (ATF 118 Ia 133 consid. 2d ; ATF 109 Ia 107 consid. 3b). Le bénéficiaire de l’assistance judiciaire est tenu au remboursement des frais judiciaires et de l’indemnité à son conseil d’office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w:t>
      </w:r>
    </w:p>
    <w:p>
      <w:r>
        <w:rPr>
          <w:b/>
        </w:rPr>
        <w:t>E. 3.2</w:t>
      </w:r>
    </w:p>
    <w:p>
      <w:r>
        <w:t>En sa qualité de conseil d’office de l’appelante, Me Stefan Graf a droit à une rémunération équitable pour ses opérations et débours dans le cadre de la procédure d’appel. Il a indiqué dans sa liste d’opérations avoir consacré, du 21 août 2020 au 29 juillet 2021, 19.6 heures au dossier. Ce décompte paraît cependant trop élevé vu la connaissance préalable que le conseil avait de la cause et l'absence de difficultés notable de celle- ci. En particulier, le temps indiqué entre les 8 et 18 septembre 2020 pour l'étude du dossier, respectivement la rédaction de la procédure, d'un total de 9 heures paraît excessif, étant relevé que sur les dix-huit pages de l'appel, seules huit sont consacrées aux griefs à proprement parler, une grande partie de l'écriture consistant à « résumer les points saillants de l'état de fait ». Ainsi, ces opérations doivent être réduites de quatre heures. Les 11 février 2021 et 16 juillet 2021, le conseil a indiqué avoir consacré chaque fois 90 minutes à la réception de la réponse, respectivement de l'arrêt de la Cour de céans. Ces deux opérations doivent chacune être réduites de moitié. Le 29 juillet 2021, le conseil a apporté la précision « projet » à propos d'une correspondance avec la partie adverse ; les 15 minutes y relatives n'ont dès lors pas à être prises en compte. En définitive, le nombre d'heures consacrées au dossier doit être ramené à 13.85 heures (19.6 - 4 - 0.75 - 0.75 - 0.25). Il s'ensuit qu'au</w:t>
      </w:r>
    </w:p>
    <w:p>
      <w:r>
        <w:t>- 10 - tarif horaire de 180 fr., l'indemnité de Me Stefan Graf doit être fixée à 2'493 fr., montant auquel s'ajoutent les débours par 49 fr. 85 et la TVA sur le tout par 195 fr. 80, soit 2'738 fr. 65 au total.</w:t>
      </w:r>
    </w:p>
    <w:p>
      <w:r>
        <w:rPr>
          <w:b/>
        </w:rPr>
        <w:t>E. 4</w:t>
      </w:r>
    </w:p>
    <w:p>
      <w:r>
        <w:t>Il n'est pas perçu de nouvel émolument forfaitaire de décision pour le jugement d'une cause renvoyée ensuite d'un arrêt du Tribunal fédéral (art. 5 al. 1 TFJC [tarif du 28 septembre 2010 des frais judiciaires civils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