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PT16.039770 vom 18. Dezember 2017</w:t>
      </w:r>
    </w:p>
    <w:p>
      <w:r>
        <w:t>VD Tribunal cantonal, 2017-12-18, FR</w:t>
      </w:r>
    </w:p>
    <w:p>
      <w:r>
        <w:rPr>
          <w:b/>
        </w:rPr>
        <w:t xml:space="preserve">Quelle: </w:t>
      </w:r>
      <w:r>
        <w:t>https://mcp.opencaselaw.ch/entscheid/vd_gerichte_PT16.039770</w:t>
      </w:r>
    </w:p>
    <w:p>
      <w:r>
        <w:t>FR: VD_GERICHTE PT16.039770 du 18 décembre 2017</w:t>
      </w:r>
    </w:p>
    <w:p>
      <w:r>
        <w:t>IT: VD_GERICHTE PT16.039770 del 18 dicembre 2017</w:t>
      </w:r>
    </w:p>
    <w:p>
      <w:pPr>
        <w:pStyle w:val="Heading2"/>
      </w:pPr>
      <w:r>
        <w:t>Erwägungen</w:t>
      </w:r>
    </w:p>
    <w:p>
      <w:r>
        <w:rPr>
          <w:b/>
        </w:rPr>
        <w:t>E. 5</w:t>
      </w:r>
    </w:p>
    <w:p>
      <w:r>
        <w:t>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JdT 2010 III 115, pp. 140 ss). Selon l'art. 241 al. 2 et 3 CPC (Code de procédure civile du 19 décembre 2008 ; RS 272), la transaction signée par les parties a les effets d'une décision entrée en force et a pour effet que la cause doit être rayée du rôle. Il convient dès lors de prendre acte de la transaction intervenue et de rayer la cause du rôle, ce qui relève de la compétence du Juge délégué de la Cour de céans (art. 43 al. 1 let. a CDPJ [Code de droit privé judiciaire vaudois du 12 janvier 2010 ; RSV 211.02]).</w:t>
      </w:r>
    </w:p>
    <w:p>
      <w:r>
        <w:rPr>
          <w:b/>
        </w:rPr>
        <w:t>E. 6</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 28 septembre 2010 ; RSV 270.11.5), seront arrêtés à 650 fr. (art. 65 al. 1 et 3 TFJC) et mis à la charge des appelants A.________ et consorts, solidairement entre eux. Il n'y a pas lieu à l'allocation de dépens de deuxième instance.</w:t>
      </w:r>
    </w:p>
    <w:p>
      <w:r>
        <w:t>- 6 - Par ces motifs, le juge délégué de la Cour d’appel civile prononce : I. Il est pris acte de la convention signée par les parties A.________ et B.________, C.________ et D.________, E.________ et F.________, G.________ et H.________ et Y.________ et Z.________ les 1er, 13, 20, 29 et 30 novembre 2017, annexée au procès- verbal afin d’en faire partie intégrante, pour valoir arrêt sur appel. II. La cause est rayée du rôle. III. Les frais judiciaires de deuxième instance, arrêtés à 650 fr. (six cent cinquante francs), sont mis à la charge des appelants A.________ et B.________, C.________ et D.________, E.________ et F.________, G.________ et H.________, solidairement entre eux. IV. Il n’est pas alloué de dépens de deuxième instance. V. L'arrêt est exécutoire. Le juge délégué : La greffière :</w:t>
      </w:r>
    </w:p>
    <w:p>
      <w:r>
        <w:t>- 7 - Du Le présent arrêt, dont la rédaction a été approuvée à huis clos, est notifié à : - Me Laurent Maire (pour A.________, B.________, C.________, D.________, E.________, F.________, G.________ et H.________), - Me Denis Bridel (pour Y.________ et Z.________),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