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PT16.035212 vom 16. Mai 2019</w:t>
      </w:r>
    </w:p>
    <w:p>
      <w:r>
        <w:t>VD Tribunal cantonal, 2019-05-16, FR</w:t>
      </w:r>
    </w:p>
    <w:p>
      <w:r>
        <w:rPr>
          <w:b/>
        </w:rPr>
        <w:t xml:space="preserve">Quelle: </w:t>
      </w:r>
      <w:r>
        <w:t>https://mcp.opencaselaw.ch/entscheid/vd_gerichte_PT16.035212</w:t>
      </w:r>
    </w:p>
    <w:p>
      <w:r>
        <w:t>FR: VD_GERICHTE PT16.035212 du 16 mai 2019</w:t>
      </w:r>
    </w:p>
    <w:p>
      <w:r>
        <w:t>IT: VD_GERICHTE PT16.035212 del 16 maggio 2019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En conclusion, l’appel doit être rejeté et le jugement attaqué confirmé. Vu l’issue du litige, les frais judiciaires de deuxième instance, arrêtés à 672 fr. (art. 62 al. 1 et 2 et 67 al. 3 TFJC [Tarif des frais judiciaires civils du 28 septembre 2010 ; RSV 270.11.5]), doivent être mis à la charge de l’appelante (art. 106 al. 1 CPC). L’appelante versera en outre à l’intimée de pleins dépens de deuxième instance, qui seront arrêtés, compte tenu de la valeur litigeuse,</w:t>
      </w:r>
    </w:p>
    <w:p>
      <w:r>
        <w:t>- 44 - de l’importance et des difficultés de la cause, ainsi que des opérations nécessaires à la procédure d’appel (art. 3 et 7 TDC [tarif des dépens en matière civile du 23 novembre 2010 ; RSV 270.11.6]), à 3'000 francs.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