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PT16.035191 vom 18. Mai 2018</w:t>
      </w:r>
    </w:p>
    <w:p>
      <w:r>
        <w:t>VD Tribunal cantonal, 2018-05-18, FR</w:t>
      </w:r>
    </w:p>
    <w:p>
      <w:r>
        <w:rPr>
          <w:b/>
        </w:rPr>
        <w:t xml:space="preserve">Quelle: </w:t>
      </w:r>
      <w:r>
        <w:t>https://mcp.opencaselaw.ch/entscheid/vd_gerichte_PT16.035191</w:t>
      </w:r>
    </w:p>
    <w:p>
      <w:r>
        <w:t>FR: VD_GERICHTE PT16.035191 du 18 mai 2018</w:t>
      </w:r>
    </w:p>
    <w:p>
      <w:r>
        <w:t>IT: VD_GERICHTE PT16.035191 del 18 maggio 2018</w:t>
      </w:r>
    </w:p>
    <w:p>
      <w:pPr>
        <w:pStyle w:val="Heading2"/>
      </w:pPr>
      <w:r>
        <w:t>Erwägungen</w:t>
      </w:r>
    </w:p>
    <w:p>
      <w:r>
        <w:rPr>
          <w:b/>
        </w:rPr>
        <w:t>E. 3.1</w:t>
      </w:r>
    </w:p>
    <w:p>
      <w:r>
        <w:t>L'appelant se plaint d’une violation de son droit d'être entendu du fait que les déclarations de X.________ n'auraient été consignées que de manière lacunaire, si bien que la décision aurait été rendue sans tenir compte de tous les éléments et moyens de preuve des parties.</w:t>
      </w:r>
    </w:p>
    <w:p>
      <w:r>
        <w:rPr>
          <w:b/>
        </w:rPr>
        <w:t>E. 3.2</w:t>
      </w:r>
    </w:p>
    <w:p>
      <w:r>
        <w:t>Aux termes de l'art. 176 al. 1 1re phrase CPC, l'essentiel des dépositions est consigné au procès-verbal, qui est lu ou remis pour lecture au témoin et signé par celui-ci.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2011, nn. 19 et 20 ad art. 53 CPC ; CREC 4 octobre 2011/179). Lorsque l'essentiel des dépositions du témoin est consigné au procès-verbal, les parties peuvent protester, mais doivent en principe le</w:t>
      </w:r>
    </w:p>
    <w:p>
      <w:r>
        <w:t>- 18 - faire sur-le-champ sous peine de forclusion (application du principe de la bonne foi en procédure), contre une retranscription inexacte, lacunaire ou tendancieuse à leur avis des déclarations du témoin. De même, il leur incombe de faire noter immédiatement au procès-verbal que certaines de leurs questions (principales ou complémentaires) n'ont pas été prises en compte, et n'ont donc pas pu être posées au témoin, ou à tout le moins qu'il y a contestation sur le fait que les questions ont pu être posées ou non (Schweizer, CPC commenté, op. cit., n. 12s ad art. 176 CPC).</w:t>
      </w:r>
    </w:p>
    <w:p>
      <w:r>
        <w:rPr>
          <w:b/>
        </w:rPr>
        <w:t>E. 3.3</w:t>
      </w:r>
    </w:p>
    <w:p>
      <w:r>
        <w:t>En l'espèce, l'appelant soutient que lors de son audition, X.________ aurait déclaré que l'intimé était disposé à s'occuper personnellement de son véhicule et qu'il lui aurait même proposé un jambon pour qu'elle accepte de lui confier cette tâche. L'appelant n'explique pas en quoi ces déclarations auraient une incidence sur l'issue du litige. Quoi qu'il en soit, le conseil de l'appelant était présent lors de l'audition du témoin en question et il lui incombait de faire relire ce qui avait été verbalisé s'il pensait que cela avait une incidence sur l'issue du litige. Le grief ne peut dès lors qu’être rejeté.</w:t>
      </w:r>
    </w:p>
    <w:p>
      <w:r>
        <w:rPr>
          <w:b/>
        </w:rPr>
        <w:t>E. 4.1</w:t>
      </w:r>
    </w:p>
    <w:p>
      <w:r>
        <w:t>L'appelant conteste que l'intimé ait effectué des heures supplémentaires. Il prétend qu’il n'y aurait jamais eu de fiches de travail pour le samedi et que le contrat de travail était simulé. Aucune heure supplémentaire n'aurait été ordonnée, la charge de travail du garage ne le justifiant pas.</w:t>
      </w:r>
    </w:p>
    <w:p>
      <w:r>
        <w:rPr>
          <w:b/>
        </w:rPr>
        <w:t>E. 4.2.1</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w:t>
      </w:r>
    </w:p>
    <w:p>
      <w:r>
        <w:t>- 19 - Le fardeau de la preuve des heures de travail supplémentaires accomplies incombe au travailleur (TF 4C.141/2006 du 24 août 2006 consid. 4.2.2). Il appartient à celui-ci de prouver qu'il a effectué des heures supplémentaires et qu'elles ont été annoncées à l'employeur ou que celui- 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les références citées).</w:t>
      </w:r>
    </w:p>
    <w:p>
      <w:r>
        <w:rPr>
          <w:b/>
        </w:rPr>
        <w:t>E. 4.2.2</w:t>
      </w:r>
    </w:p>
    <w:p>
      <w:r>
        <w:t>A la fin du contrat, toutes les créances qui en découlent deviennent exigibles (art. 339 al. 1 CO). Sauf clause contraire d'un accord écrit, d'un contrat-type de travail ou d'une convention collective, l'employeur est toutefois tenu de rétribuer les heures de travail supplémentaires qui ne sont pas compensées par un congé en versant le salaire normal majoré d'un quart au moins (art. 321c al. 3 CO). La notion d'heures supplémentaires se définit, selon l'art. 321c CO, comme des heures effectuées au-delà de la durée normale de travail, que celle-ci soit</w:t>
      </w:r>
    </w:p>
    <w:p>
      <w:r>
        <w:t>- 20 -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 habituel et le temps de travail effectif (Carruzzo, Le contrat individuel de travail, Zurich 2009, p. 58 ; Tobler et al., Arbeitsrecht, 2006, n. 1.1 ad art. 321c CO ; Streiff/von Kaenel, Arbeitsvertrag, 6e éd., n. 4 ad art. 321c CO), ou encore comme les heures effectuées au-delà de la durée normale du travail et qui sont nécessaires à l'accomplissement du travail demandé par l'employeur (Brunner/Bühler/Waeber/ Bruchez, Commentaire du contrat de travail, 3e éd., n. 3 et 4 ad art. 321c CO).</w:t>
      </w:r>
    </w:p>
    <w:p>
      <w:r>
        <w:rPr>
          <w:b/>
        </w:rPr>
        <w:t>E. 4.2.3</w:t>
      </w:r>
    </w:p>
    <w:p>
      <w:r>
        <w:t>Selon la CCT applicable, la durée hebdomadaire de travail est de 42 heures (art. 26 CCT) et l'employeur est tenu de rémunérer les heures supplémentaires qui ne sont pas compensées par un congé (art. 27 CCT).</w:t>
      </w:r>
    </w:p>
    <w:p>
      <w:r>
        <w:rPr>
          <w:b/>
        </w:rPr>
        <w:t>E. 4.2.4</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ont précédé ou accompagné la manifestation de volonté (ATF 133 III 61 ; ATF 131 III 606 ; ATF 131 III 377, JdT 2005 I 612). Même si la teneur d'une clause contractuelle paraît claire à première vue, il peut résulter d'autres conditions du contrat, du but poursuivi par les parties ou d'autres</w:t>
      </w:r>
    </w:p>
    <w:p>
      <w:r>
        <w:t>- 21 - circonstances que le texte de ladite clause ne restitue pas exactement le sens de l'accord conclu. Il n'y a cependant pas lieu de s'écarter du sens littéral, lorsqu'il n'y a pas de raison sérieuse de penser qu'il ne correspond pas à la volonté des parties (ATF 130 II 47, rés. in JdT 2004 I 268 ; ATF 129 III 118, rés. in JdT 2003 I 144). L'art. 18 CO envisage deux cas spéciaux : celui où les parties, dans le choix de leurs expressions ou dénominations, ont commis une erreur et celui où elles ont voulu déguiser la nature véritable de la convention (Winiger, Commentaire romand, Code des obligations I, n. 60 ad art. 18 CC).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 il masque un acte sous-jacent, dissimulé. C'est un mensonge concerté. L'accord des parties est à double détente : il porte sur une convention sincère et secrète et sur un acte extérieur, public, qui cache la volonté réelle (Engel, Traité des obligations en droit suisse, 2e éd., p. 224 et les références citées). Par la simulation, les parties veulent soit feindre un rapport contractuel, soit cacher avec le contrat simulé un autre contrat réellement voulu (ATF 123 IV 61 consid. 5c/cc, JdT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par voie d’exception (TF du 4 décembre 1981 consid. 3a, publié in SJ 1982 p. 232 ; Engel, op. cit., pp. 225-226 ; Winiger, op. cit., nn. 81 ss ad art. 18 CO).</w:t>
      </w:r>
    </w:p>
    <w:p>
      <w:r>
        <w:t>- 22 - Il incombe à celui qui se prévaut de la simulation d'en apporter la preuve (art. 8 CC), point sur lequel il y a lieu de se montrer exigeant (TF 4A_96/2008 du 26 mai 2008, SJ 2008 I 448 ; ATF 112 II 337 consid. 4a, JdT 1987 I 170). Des allégations de caractère général et de simples présomptions ne suffisent pas. Selon la jurisprudence, le comportement ultérieur des parties est un indice de leur intention réelle au moment de la conclusion du contrat (ATF 112 II 337 précité).</w:t>
      </w:r>
    </w:p>
    <w:p>
      <w:r>
        <w:rPr>
          <w:b/>
        </w:rPr>
        <w:t>E. 4.3</w:t>
      </w:r>
    </w:p>
    <w:p>
      <w:r>
        <w:t>En l'espèce, il faut commencer par examiner s'il peut être retenu que le contrat passé entre les parties était un contrat simulé, comme plaidé par l'appelant, s'agissant de la question des heures de travail. Or l'appelant n'invoque aucun motif pour lequel les parties auraient pu convenir d'indiquer un horaire de travail hebdomadaire de 50 heures dans le contrat si cela n'était pas l'horaire que l'employeur entendait imposer à son employé. On ne voit au demeurant pas pour quel motif les parties auraient eu intérêt à simuler un accord sur cette question, dès lors qu'il eût été plus juste de prévoir un horaire réduit justifiant le salaire réduit prévu contractuellement. L'appelant échoue donc dans l'apport de la preuve que le contrat ait été simulé sur cette question. Dans ses déterminations du 14 novembre 2016, l'appelant allègue que, contrairement à ce qui était prévu dans le contrat de travail, l'intimé n'a jamais travaillé 50 heures par semaine, il commençait à 8 h 15 et 8 h 30 et finissait vers 17 h 30, 18 heures en ayant pris une pause d'une heure et demi à midi. L'intimé, interrogé en qualité de partie, a déclaré finir plus tardivement, vers 19 h 30, 20 heures, voire 21 heures et travailler les samedis jusqu'à 15 heures, 16 heures. La fille de l’appelant a déclaré qu'il venait plus tôt le matin, vers 7 heures, 7 h 30 mais qu'elle- même partait vers 16 heures, 16 h 30. Il sied d’en déduire qu'en réalité, elle ne savait pas quand l'intimé terminait sa journée. Enfin, elle ne savait pas si l'intimé travaillait le samedi. Même si l'on considère que les autres témoignages ont peu de force probante pris individuellement, il résulte de tous ceux-ci que l'intimé travaillait tard le soir, même s'il lui était arrivé de partir à 18 heures, et qu'il revenait le samedi. Il n'y a dès lors pas motif à retenir que celui-ci n'avait pas effectué les 50 heures prévues contractuellement. Quant à la question de savoir si l'intimé restait sur son</w:t>
      </w:r>
    </w:p>
    <w:p>
      <w:r>
        <w:t>- 23 - lieu de travail pour « boire des verres » avec des clients devenus des amis ou passait son temps au téléphone, à aucun moment l'appelant ne s'est plaint d'un tel comportement pendant les rapports de travail, si bien que l'on doit considérer que les heures passées au garage étaient des heures de travail.</w:t>
      </w:r>
    </w:p>
    <w:p>
      <w:r>
        <w:rPr>
          <w:b/>
        </w:rPr>
        <w:t>E. 5.1</w:t>
      </w:r>
    </w:p>
    <w:p>
      <w:r>
        <w:t>Dans un autre grief, l'appelant fait valoir que l'intimé aurait renoncé au paiement des heures supplémentaires et qu'il a signé une quittance pour les versements de 3'500 fr. qui avaient eu lieu jusqu'au licenciement.</w:t>
      </w:r>
    </w:p>
    <w:p>
      <w:r>
        <w:rPr>
          <w:b/>
        </w:rPr>
        <w:t>E. 5.2</w:t>
      </w:r>
    </w:p>
    <w:p>
      <w:r>
        <w:t>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 ATF 124 III 469 consid. 3a ; ATF 126 III 337 consid. 7b ; CACI 14 avril 2016/182 consid. 4.2).</w:t>
      </w:r>
    </w:p>
    <w:p>
      <w:r>
        <w:rPr>
          <w:b/>
        </w:rPr>
        <w:t>E. 5.3</w:t>
      </w:r>
    </w:p>
    <w:p>
      <w:r>
        <w:t>En l'espèce, en vertu des principes évoqués ci-dessus, l'intimé n'a pas pu renoncer aux prétentions qu'il avait contre l'appelant pendant la durée des rapports de travail. L'appelant invoque que sa renonciation découlerait des quittances que lui a fait signer l’agent d’affaires breveté L.________ aux mois de janvier et mars 2016. Or celles-ci n'indiquent pas qu'il s'agisse d'un solde de tout compte ou de toute prétention. Qui plus est, elles n'ont aucune valeur vu le caractère impératif de la loi. Pour le cas où il faudrait comprendre les griefs de l'appelant en ce sens que par la signature apposée sur ces documents, l'intimé a confirmé avoir toujours reçu le montant de 3'500 fr. net comme salaire, il ne peut en être ainsi puisque ces quittances sont en contradiction avec les autres pièces du dossier et les déclarations de l’agent d’affaires breveté L.________ qui a déposé en qualité de témoin. En outre, signées par l'intimé qui ne</w:t>
      </w:r>
    </w:p>
    <w:p>
      <w:r>
        <w:t>- 24 - comprend pas bien le français, ce que plaide par ailleurs l'appelant, et à un moment où on lui remettait en main propre le salaire du mois, elles n'étaient pas compréhensibles et ne sauraient être retenues contre l'intimé.</w:t>
      </w:r>
    </w:p>
    <w:p>
      <w:r>
        <w:rPr>
          <w:b/>
        </w:rPr>
        <w:t>E. 6</w:t>
      </w:r>
    </w:p>
    <w:p>
      <w:r>
        <w:t>Pour ces motifs, l’appel doit être rejeté selon le mode procédural de l’art. 312 al. 1 CPC et le jugement entrepris confirmé. Les frais judiciaires de deuxième instance, arrêtés à 880 fr. (art. 62 al. 1 et 67 al. 3 TFJC [tarif du 28 septembre 2010 des frais judiciaires civils ; RSV 270.11.5]), seront mis à la charge de l’appelant, qui succombe (art. 106 al. 1 CPC).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