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PT15.045346 vom 7. Juli 2022</w:t>
      </w:r>
    </w:p>
    <w:p>
      <w:r>
        <w:t>VD Tribunal cantonal, 2022-07-07, FR</w:t>
      </w:r>
    </w:p>
    <w:p>
      <w:r>
        <w:rPr>
          <w:b/>
        </w:rPr>
        <w:t xml:space="preserve">Quelle: </w:t>
      </w:r>
      <w:r>
        <w:t>https://mcp.opencaselaw.ch/entscheid/vd_gerichte_PT15.045346</w:t>
      </w:r>
    </w:p>
    <w:p>
      <w:r>
        <w:t>FR: VD_GERICHTE PT15.045346 du 7 juillet 2022</w:t>
      </w:r>
    </w:p>
    <w:p>
      <w:r>
        <w:t>IT: VD_GERICHTE PT15.045346 del 7 luglio 2022</w:t>
      </w:r>
    </w:p>
    <w:p>
      <w:pPr>
        <w:pStyle w:val="Heading2"/>
      </w:pPr>
      <w:r>
        <w:t>Erwägungen</w:t>
      </w:r>
    </w:p>
    <w:p>
      <w:r>
        <w:rPr>
          <w:b/>
        </w:rPr>
        <w:t>E. 8.1</w:t>
      </w:r>
    </w:p>
    <w:p>
      <w:r>
        <w:t>En définitive, l’appel doit être partiellement admis et le jugement entrepris réformé au chiffre II de son dispositif en ce sens que l’appelante doive verser à l’intimée la somme de 28’539 fr. 75, avec intérêts à 5% l’an dès le 28 février 2015, le jugement étant confirmé pour le surplus.</w:t>
      </w:r>
    </w:p>
    <w:p>
      <w:r>
        <w:rPr>
          <w:b/>
        </w:rPr>
        <w:t>E. 8.2.1</w:t>
      </w:r>
    </w:p>
    <w:p>
      <w:r>
        <w:t>A teneur de l’art. 106 al. 1 CPC, les frais sont mis à la charge de la partie succombante. Lorsqu’aucune des parties n’obtient entièrement gain de cause, les frais sont répartis selon le sort de la cause (art. 106 al. 2 CPC). Le juge dispose d’une grande liberté d’appréciation, spécialement dans l’application de l’art. 106 al. 2 CPC (ATF 139 III 358 consid. 3 ; TF 5A_140/2019 du 5 juillet 2019 consid. 5.1.1). Si l’instance d’appel statue à nouveau, elle se prononce sur les frais – soit les frais judiciaires et les dépens (art. 95 al. 1 CPC) – de la première instance (art. 318 al. 3 CPC).</w:t>
      </w:r>
    </w:p>
    <w:p>
      <w:r>
        <w:rPr>
          <w:b/>
        </w:rPr>
        <w:t>E. 8.2.2</w:t>
      </w:r>
    </w:p>
    <w:p>
      <w:r>
        <w:t>Les premiers juges ont réparti les frais de première instance à raison de 10% à la charge de l’intimée et de 90% à la charge de l’appelante. Dès lors que la conclusion II de l’intimée doit être réduite à 28’539 fr. 75, au lieu des 49’351 fr. 70 réclamés et obtenus en première instance, il convient de répartir les frais à raison de 15% à la charge de l’intimée et de 85% à la charge de l’appelante.</w:t>
      </w:r>
    </w:p>
    <w:p>
      <w:r>
        <w:t>- 52 - Les frais judiciaires de première instance ont été arrêtés à 66’931 fr. et les frais de la procédure de conciliation à 1’937 francs. Ainsi, l’intimée doit supporter les frais judiciaires de première instance et de conciliation à hauteur de respective-ment 10’039 fr. 65 et 290 fr. 55 et l’appelante doit quant à elle supporter ces frais judiciaires à hauteur de respectivement 56’891 fr. 35 et 1’646 fr. 45. L’intimée devra enfin verser des dépens réduits de première instance de 22’213 fr. ([23’520 : 90] x 85).</w:t>
      </w:r>
    </w:p>
    <w:p>
      <w:r>
        <w:rPr>
          <w:b/>
        </w:rPr>
        <w:t>E. 8.3</w:t>
      </w:r>
    </w:p>
    <w:p>
      <w:r>
        <w:t>En appel, l’appelante a obtenu gain de cause sur un montant de 20’811 fr. sur les 366’710 fr. litigieux, soit sur environ 5% de ses conclusions. Les frais doivent donc être mis à sa charge à hauteur de 95%. Ainsi, les frais judiciaires de deuxième instance, arrêtés à 4’667 fr. (art. 62 al. 1 TFJC [Tarif des frais judiciaires civils du 28 septembre 2010 ; BLV 270.11.5]), sont mis à la charge de l’appelante par 4’433 fr. 65 et à la charge de l’intimée par 233 fr. 35. L’intimée devra rembourser à l’appelante 233 fr. 35 à titre de restitution de l’avance des frais judiciaires de deuxième instance.</w:t>
      </w:r>
    </w:p>
    <w:p>
      <w:r>
        <w:rPr>
          <w:b/>
        </w:rPr>
        <w:t>E. 8.4</w:t>
      </w:r>
    </w:p>
    <w:p>
      <w:r>
        <w:t>La charge des dépens de deuxième instance étant évaluée à 6’000 fr. (art. 3 al. 2 et 7 TDC [tarif des dépens en matière civile du 23 novembre 2010 ; BLV 270.11.6]), l’appelante versera à l’intimée des dépens réduits de deuxième instance, arrêtés, selon la même clé de répartition que ci-dessus, à 5’400 francs.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