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PT15.036894 vom 13. September 2022</w:t>
      </w:r>
    </w:p>
    <w:p>
      <w:r>
        <w:t>VD Tribunal cantonal, 2022-09-13, FR</w:t>
      </w:r>
    </w:p>
    <w:p>
      <w:r>
        <w:rPr>
          <w:b/>
        </w:rPr>
        <w:t xml:space="preserve">Quelle: </w:t>
      </w:r>
      <w:r>
        <w:t>https://mcp.opencaselaw.ch/entscheid/vd_gerichte_PT15.036894</w:t>
      </w:r>
    </w:p>
    <w:p>
      <w:r>
        <w:t>FR: VD_GERICHTE PT15.036894 du 13 septembre 2022</w:t>
      </w:r>
    </w:p>
    <w:p>
      <w:r>
        <w:t>IT: VD_GERICHTE PT15.036894 del 13 settembre 2022</w:t>
      </w:r>
    </w:p>
    <w:p>
      <w:pPr>
        <w:pStyle w:val="Heading2"/>
      </w:pPr>
      <w:r>
        <w:t>Erwägungen</w:t>
      </w:r>
    </w:p>
    <w:p>
      <w:r>
        <w:rPr>
          <w:b/>
        </w:rPr>
        <w:t>E. 5</w:t>
      </w:r>
    </w:p>
    <w:p>
      <w:r>
        <w:t>janvier 2021, l’appelant n’obtient en définitive qu’un montant de 253'808 fr. 11, de sorte qu’il se justifierait de compenser les dépens de deuxième instance. 2.2 Selon l'art. 95 al. 1 CPC (Code de procédure civile du 19 décembre 2008 ; RS 282), les frais comprennent les frais judiciaires ainsi</w:t>
      </w:r>
    </w:p>
    <w:p>
      <w:r>
        <w:t>- 9 - que les dépens, soit notamment les débours nécessaires et le défraiement d'un représentant professionnel (cf. art. 95 al. 3 let. a et b CPC), notion qui vise essentiellement les frais d'avocat (Tappy, Commentaire romand, Code de procédure civile, 2e éd., Bâle 2019, n. 26 ad art. 95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Aux termes de l’art. 114 let. e CPC, il n’est pas perçu de frais judiciaires dans la procédure au fond pour ce qui est des litiges portant sur des assurances complémentaires à l’assurance-maladie sociale au sens de la loi fédérale du 18 mars 1994 sur l’assurance-maladie (ci-après : LAMal). 2.3 2.3.1 En l’espèce, aucun frais judiciaire de deuxième instance n’a été perçu selon l’arrêt de la Cour de céans du 5 juillet 2021. Dès lors que le présent litige porte sur des assurances complémentaires à la LAMal, cette solution doit être ici confirmée, en application de l’art. 114 let. e CPC. 2.3.2 S’agissant des dépens de deuxième instance, l’appelante voit en définitive son appel entièrement rejeté, alors que l’appel de l’appelant est partiellement admis. Ce dernier l’emporte dès lors davantage que l’appelante en appel, sans pour autant obtenir entièrement gain de cause. Dans ces conditions, il se justifie d’allouer à l’appelant des dépens dont le</w:t>
      </w:r>
    </w:p>
    <w:p>
      <w:r>
        <w:t>- 10 - montant sera déterminé en fonction du sort des deux appels (art. 106 al. 2 CPC). Les pleins dépens afférents à chacun des appels sont évalués à 4'500 fr. (art. 3 al. 2, 7 TDC), les opérations effectuées par les conseils de chacune des parties apparaissant équivalentes. Dès lors que l’appelante succombe entièrement sur son appel, ce sont de pleins dépens, à hauteur de 4'500 fr., qui doivent être alloués à l’appelant en lien avec cet appel. Dans le cadre de son appel, l’appelant obtient en définitive 44'383 fr. 65 de plus que ce que les premiers juges lui avaient alloué (253’808 fr. 21 alloués par l’arrêt du Tribunal fédéral – 209'424 fr. 56 alloués par le jugement entrepris). Or, il concluait au paiement d’un montant total de 466'314 fr. 85, soit 256'890 fr. 29 (466'314 fr. 85 – 209'424 fr. 56) de plus que la somme arrêtée en sa faveur par la Chambre patrimoniale cantonale. L’appelant obtient dès lors gain de cause à hauteur d’environ 20% des prétentions qu’il invoquait en appel (44'383 fr. 65 / 256'890 fr. 29 x 100) et succombe à hauteur d’environ 80% desdites prétentions. Dans ces conditions, il convient de retenir que l’appelant doit, en lien avec son appel, des dépens réduits à l’appelante qui s’élèvent, après compensation, à 2’700 fr. (3'600 fr. [80% de 4'500 fr.] – 900 fr. [20% de 4'500 fr.]). En définitive, après compensation des dépens liés à chacun des appels, c’est un montant de 1'800 fr. (4'500 fr. – 2'700 fr.) qui doit être versé par l’appelante à l’appelant à titre de dépens réduits de deuxième instance. 2.3.3 En vertu de l'art. 5 al. 1 TFJC (tarif du 28 septembre 2010 des frais judiciaires civils ; BLV 270.11.5), il n'est pas perçu de nouvel émolument forfaitaire de décision pour le jugement d'une cause renvoyée ensuite d'un arrêt du Tribunal fédéral.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