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PT15.032749 vom 31. Januar 2022</w:t>
      </w:r>
    </w:p>
    <w:p>
      <w:r>
        <w:t>VD Tribunal cantonal, 2022-01-31, FR</w:t>
      </w:r>
    </w:p>
    <w:p>
      <w:r>
        <w:rPr>
          <w:b/>
        </w:rPr>
        <w:t xml:space="preserve">Quelle: </w:t>
      </w:r>
      <w:r>
        <w:t>https://mcp.opencaselaw.ch/entscheid/vd_gerichte_PT15.032749</w:t>
      </w:r>
    </w:p>
    <w:p>
      <w:r>
        <w:t>FR: VD_GERICHTE PT15.032749 du 31 janvier 2022</w:t>
      </w:r>
    </w:p>
    <w:p>
      <w:r>
        <w:t>IT: VD_GERICHTE PT15.032749 del 31 gennaio 2022</w:t>
      </w:r>
    </w:p>
    <w:p>
      <w:pPr>
        <w:pStyle w:val="Heading2"/>
      </w:pPr>
      <w:r>
        <w:t>Erwägungen</w:t>
      </w:r>
    </w:p>
    <w:p>
      <w:r>
        <w:rPr>
          <w:b/>
        </w:rPr>
        <w:t>E. 4</w:t>
      </w:r>
    </w:p>
    <w:p>
      <w:r>
        <w:t>Sur le fond, l’appelant conteste les honoraires de l’intimée et de l’ingénieur civil, contestant en substance la qualification des contrats et la méthode de calcul appliquée par les premiers juges, qui ont suivi l’expert. Ces éléments seront repris en détail ci-après.</w:t>
      </w:r>
    </w:p>
    <w:p>
      <w:r>
        <w:rPr>
          <w:b/>
        </w:rPr>
        <w:t>E. 5.1</w:t>
      </w:r>
    </w:p>
    <w:p>
      <w:r>
        <w:t>L’appelant conteste tout d’abord la qualification du contrat liant les parties, relevant que l’intitulé des contrats serait sans importance au regard de l’art. 18 CO. Selon lui, il s’agirait en réalité d’un contrat d’architecte global, puisqu’aucun des deux contrats en cause ne faisait état d’un descriptif de travaux et ainsi d’un ouvrage fini, mais se limitait à mentionner l’établissement des plans jusqu’à la phase d’enquête publique, l’établissement des plans d’exécution, l’établissement des soumissions, les adjudications à des entreprises tierces, l’établissement des procès- verbaux de chantier, le suivi de chantier, le contrôle des travaux et la supervision des retouches finales. Les parties avaient d’ailleurs convenu d’honoraires et non d’un prix de l’ouvrage et le fait que l’intimée ne soit pas un bureau d’architectes n’était selon lui pas déterminant, puisqu’elle avait sous-traité les prestations d’architecte. Elle soutient ainsi, en se fondant sur la jurisprudence, que les règles du mandat étaient applicables à la résolution du contrat, soit en particulier l’art 404 al. 1 CO, et non</w:t>
      </w:r>
    </w:p>
    <w:p>
      <w:r>
        <w:t>- 22 - celles du contrat d’entreprise comme l’avaient retenu les premiers juges, ce qui aurait une importance cruciale sur les modalités et les conséquences de la résiliation du contrat. Pour sa part, l’intimée soutient que quelle que soit la qualification du contrat – contrat d’entreprise global ou contrat d’architecte global – les montants alloués par les premiers juges seraient dus. Au surplus, elle relève que l’appelante n’expliquerait pas en quoi les conséquences juridiques seraient différentes si les règles du mandat étaient applicables aux conséquences de la résolution des contrats.</w:t>
      </w:r>
    </w:p>
    <w:p>
      <w:r>
        <w:rPr>
          <w:b/>
        </w:rPr>
        <w:t>E. 5.2.1</w:t>
      </w:r>
    </w:p>
    <w:p>
      <w:r>
        <w:t>Aux termes de l’art. 363 CO,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6e éd., Zurich 2019, n. 7). L’ouvrage est le produit, concrétisé matériellement, d’un travail consistant à modifier une situation de fait : quelque chose a été créé, transformé ou supprimé (Tercier/Bieri/Carron, Les contrats spéciaux, 5e éd., 2016, n. 3516).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lequel n’aura pas de relation contractuelle avec le maître, mais seulement avec l’entrepreneur général (Tercier/Bieri/Carron, op. cit., nn. 3586 et 3598). L’entrepreneur total est pour sa part chargé, en plus des tâches de l’entrepreneur général, de l'établissement des études de projets et des plans. Un architecte peut parfaitement jouer le rôle d’un entrepreneur général ou total ; s’il revêt cette qualité, l’architecte ne représente pas le maître envers les</w:t>
      </w:r>
    </w:p>
    <w:p>
      <w:r>
        <w:t>- 23 - entrepreneurs mis en œuvre, mais agit envers ces sous-traitants en son nom et pour son propre compte (TF 4A_471/2010 du 2 décembre 2010 consid. 4.3.1 et les arrêts cités). Dans le contrat d'entreprise, lorsque le maître résilie le contrat de manière anticipée en vertu de l'art. 377 CO, les relations contractuelles entre les parties prennent fin pour l'avenir (ex nunc) (ATF 130 III 362 consid. 4.2 et les arrêts cités). L'« indemnité complète » due par le maître en vertu de cette disposition correspond à l'intérêt positif : elle consiste en des dommages-intérêts positifs, qui correspondent à l'intérêt de l'entrepreneur à l'exécution complète du contrat ; elle comprend conséquemment le gain manqué (ATF 96 II 192 consid. 5 ; sur les méthodes de calcul, cf. TF 4A_96/2014 du 2 septembre 2014 consid. 4.1, publié in SJ 2015 I p. 8). Cette indemnité peut être réduite ou supprimée si l'entrepreneur, par son comportement fautif, a contribué dans une mesure importante à l'événement qui a poussé le maître à se départir du contrat. La perte de confiance du maître en l'entrepreneur ne saurait à elle seule constituer un motif suffisant pour permettre au premier de résilier le contrat sans devoir indemniser le second (TF 4A_96/2014 déjà cité consid. 4.1; 4D_8/2008 du 31 mars 2008 consid. 3.4.1; 4C.281/2005 du 15 décembre 2005 consid. 3.6, publié in SJ 2006 I p. 174 et les références).</w:t>
      </w:r>
    </w:p>
    <w:p>
      <w:r>
        <w:rPr>
          <w:b/>
        </w:rPr>
        <w:t>E. 5.2.2</w:t>
      </w:r>
    </w:p>
    <w:p>
      <w:r>
        <w:t>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il s'agit d'un contrat d'architecte global; ce contrat est mixte et relève, suivant les prestations, du mandat ou du contrat d'entreprise (ATF 134 III 361 consid. 5.1; 127 III 543 consid. 2a; 114 II 53 consid. 2b; 110 II 380 consid. 2; 109 II 462 consid. 3c et 3d). Par un contrat d’architecte global, l’architecte se charge au moins de l’établissement des plans – esquisses et projets de construction, plans d’exécution et de détail – et de la direction</w:t>
      </w:r>
    </w:p>
    <w:p>
      <w:r>
        <w:t>- 24 - des travaux, avec ou sans l’adjudication de travaux (ATF 134 III 361 consid. 5.1 et 6.2.2 ; 127 III 543 consid. 2a). Dans la mesure où les plans sont des ouvrages, la responsabilité éventuelle de l’architecte relève des règles sur le contrat d’entreprise (ATF 134 III 361 consid. 5.1), la résiliation du contrat d’architecte global demeurant entièrement soumise aux règles du mandat, de sorte qu’il peut être résilié en tout temps (art. 404 al. 1 CO ; ATF 127 III 543 consid. 2a ; TF 4A_514/2016 du 6 avril 2017 consid. 3.1.1). Dans le contrat de mandat, le mandant peut résilier le contrat en tout temps en vertu de l'art. 404 al. 1 CO (ATF 115 II 464 consid. 2a; TF 4A_141/2011 du 6 juillet 2011 consid. 2.2 et les arrêts cités). En cas de résiliation en temps inopportun (art. 404 al. 2 CO), il doit indemniser le mandataire du dommage qu'il lui cause. Il ne s'agit que d'une indemnisation de l'intérêt négatif (TF 4A_284/2013 du 13 février 2014 consid. 3.6.1), et non de l'intérêt à la poursuite du contrat (TF 4A_294/2012 du 8 octobre 2012 consid. 7.2). Dans cas où les parties ne se seraient pas mises d’accord sur la rémunération de l’architecte ou de l’ingénieur, quelle que soit la qualification juridique des rapports entre les parties (entreprise ou mandat), le juge doit fixer la rémunération suivant les principes généraux de manière à ce qu’elle corresponde aux services rendus et leur soit objectivement proportionnée, en tenant compte de toutes les circonstances, notamment du genre et de la durée du mandat, du travail accompli, de l’importance et de la difficulté de l’affaire, des responsabilités en jeu ainsi que de la situation du mandataire, en particulier son genre d’activité (TF 4C.158/2001 consid. 1b, SJ 2002 I 204). Les règlements et tarifs SIA ne sont déterminants que dans la mesure où les parties ont expressément ou tacitement convenu de s'y référer ; à défaut, ils n'ont pas valeur d'usage au regard de l'art. 394 al. 3 CO (TF 4A_230/2013 du 17 septembre 2013, consid. 2, 4A_86/2011 du 28 avril 2011, consid. 6, RtiD 2011 II 739 ; 4C.158/2001 du 15 octobre 2001, consid. 1, SJ 2002 I 204). Le Tribunal fédéral admet toutefois que même si les parties ne l’ont pas intégrée au contrat, il est possible, pour fixer la rémunération d’un ingénieur ou d’un architecte, de s’inspirer de la</w:t>
      </w:r>
    </w:p>
    <w:p>
      <w:r>
        <w:t>- 25 - méthode rationnelle qu’implique le norme SIA-102 ou 103, c’est-à-dire du fractionnement des différentes parties de la mission à accomplir, exprimé en pourcentage de la mission complète (TF 4C.158/2001 consid. 1c et 2, SJ 2002 I 204).</w:t>
      </w:r>
    </w:p>
    <w:p>
      <w:r>
        <w:rPr>
          <w:b/>
        </w:rPr>
        <w:t>E. 5.3</w:t>
      </w:r>
    </w:p>
    <w:p>
      <w:r>
        <w:t>En l’espèce, les contrats conclus par les parties ne contiennent aucun descriptif des travaux, ne prévoient pas la livraison d’ouvrages finis et ne fixent pas un prix, soit notamment par un coût total forfaitaire des constructions. En prévoyant par ailleurs que les paiements des corps de métier s’effectuaient par signature collective de la direction des travaux et du propriétaire, on ne saurait retenir ici que l’intimée s’était engagée à livrer un ouvrage sans égard à la nature des travaux à effectuer. L’intimée était en outre payée par des honoraires s’élevant à 10% du coût total des ouvrages et ses missions correspondaient à celles d’un architecte, puisqu’elles couvraient en substance l’établissement des plans et des soumissions, l’adjudication des travaux, puis leur surveillance, le fait qu’elle ait sous-traité l’élaboration des plans étant à cet égard sans pertinence, dès lors qu’il n’est pas établi que l’intimée se serait engagée à exécuter elle-même l’ensemble de ces prestations. Force est dès lors d’admettre que les parties ont en l’espèce conclu deux contrats d’architecte globaux. Partant, les conséquences de la résiliation des contrats sont régies par l’art. 404 al. 1 CO, comme on l’a vu plus haut. Cela étant, contrairement à ce que soutient l’appelant, la question de la qualification du contrat n’est pas déterminante ici, puisque l’intimée s’est contentée de réclamer des honoraires pour le travail effectué, renonçant par là à une indemnisation de son éventuel intérêt positif à l’exécution du contrat, uniquement prévue par l’art. 377 CO. Dans les circonstances d’espèce, l’application de l’art. 377 ou de l’art. 404 CO est ainsi sans conséquence, l’intimée ayant de toute manière le droit d’être indemnisée pour le travail accompli quelle que soit la disposition appliquée (cf. TF 4C.158/2001, consid. 1b, SJ 2002 I 204). L’appelant, bien qu’il souligne que cette distinction serait cruciale, n’en tire d’ailleurs aucune conséquence dans la motivation de son appel.</w:t>
      </w:r>
    </w:p>
    <w:p>
      <w:r>
        <w:t>- 26 -</w:t>
      </w:r>
    </w:p>
    <w:p>
      <w:r>
        <w:rPr>
          <w:b/>
        </w:rPr>
        <w:t>E. 6.1</w:t>
      </w:r>
    </w:p>
    <w:p>
      <w:r>
        <w:t>S’agissant de la fixation des honoraires de l’intimée proprement dit, l’appelant critique les conclusions de l’expertise, en soutenant que les premiers juges auraient dû se fonder sur le deuxième complément d’expertise pour retenir que l’ensemble des dépenses effectives de l’intimée jusqu’à la fin de l’enquête publique se serait élevé à 300'000 fr. pour tous les projets et que, partant, seul le montant de 78'700 fr. pouvait être mis à sa charge, déjà largement couvert par les acomptes versés. Il fait valoir à cet égard que le montant de 300'000 fr. correspondait au montant total versé à l’architecte Q.________, chargé de l’élaboration des plans pour la mise à l’enquête, et que les dépenses effectives de l’intimée n’allaient pas au-delà de cette somme dès lors que la résolution du contrat avait eu lieu pendant la procédure de recours contre le permis de construire.</w:t>
      </w:r>
    </w:p>
    <w:p>
      <w:r>
        <w:rPr>
          <w:b/>
        </w:rPr>
        <w:t>E. 6.2.1</w:t>
      </w:r>
    </w:p>
    <w:p>
      <w:r>
        <w:t>En vertu de l'art. 8 CC (Code civil suisse du 10 décembre 1907 ; RS 210), il incombe à l'architecte d'alléguer et de prouver les faits pertinents pour l'évaluation de ses honoraires (TF 4A_230/2013 du 17 septembre 2013 consid. 2 et la référence à la doctrine). L'expertise est l'un des moyens de preuve admis par le CPC (art. 168 al. 1 let. d et art. 183 ss CPC). La loi ne l'exige pas pour la preuve des honoraires dus à l'architecte. Toutefois, même en l'absence d'une disposition légale spéciale, une expertise est imposée par l'art. 8 CC, lorsque le juge n'est pas à même de résoudre, à la lumière de ses propres connaissances, la question qui lui est soumise (cf. ATF 117 II 231 consid. 2b). A cet égard, on relèvera que si le juge peut dans une certaine mesure résoudre la question de savoir quels travaux ont effectivement été exécutés et s’il y a lieu de s’inspirer ou non d’une norme SIA qui n’a pas été intégrée au contrat, seul un homme du métier est en mesure de dire quelle valeur il y a lieu d’attribuer aux travaux exécutés par rapport au</w:t>
      </w:r>
    </w:p>
    <w:p>
      <w:r>
        <w:t>- 27 - prix forfaitaire convenu et quel pourcentage du prix forfaitaire doit être attribué à chaque phase des travaux (cf. TF 4A_146/2015 consid. 5.2.2).</w:t>
      </w:r>
    </w:p>
    <w:p>
      <w:r>
        <w:rPr>
          <w:b/>
        </w:rPr>
        <w:t>E. 6.2.2</w:t>
      </w:r>
    </w:p>
    <w:p>
      <w:r>
        <w:t>Une expertise revêt une valeur probante lorsqu'elle est complète, logique et exempte de contradictions.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et doit alors motiver son appréciation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(ATF 101 Ib 405 consid. 3b/aa ; ATF 110 Ib 42 consid. 2 ; TF 5A_485/2012 précité consid. 4.1).</w:t>
      </w:r>
    </w:p>
    <w:p>
      <w:r>
        <w:rPr>
          <w:b/>
        </w:rPr>
        <w:t>E. 6.3</w:t>
      </w:r>
    </w:p>
    <w:p>
      <w:r>
        <w:t>En l’espèce, force est d’admettre que les premiers juges n’étaient pas liés par le choix de l’expert de s’inspirer du chiffre 7.9 de la norme SIA-102 pour déterminer les honoraires dus, s’agissant d’une question de droit. En revanche, ils ne pouvaient s'écarter de la valeur que l’expert a attribué aux travaux qu'en présence de raisons majeures. Pour déterminer la méthode de calcul la plus adéquate, il faut d’abord se référer au contrat, dont la clause de rémunération prévoit que les honoraires de l’intimée s’élèveraient à 10% sur le coût total de la construction, hors taxes communales et introductions de l’eau, du gaz, du téléphone, de l’électricité et le raccordement eaux claires / eaux usées. Compte tenu de la résiliation anticipée du contrat, ce mode de rémunération doit être adapté à l’exécution partielle du contrat, puisqu’il n’est réalisable qu’à la condition que le contrat soit exécuté entièrement. Le travail de l’architecte n’étant pas linéaire au cours de la réalisation d’un projet, il s’agit de trouver la solution de rémunération la plus équitable</w:t>
      </w:r>
    </w:p>
    <w:p>
      <w:r>
        <w:t>- 28 - pour les parties et surtout la plus proche de la volonté contractuelle de celles-ci. Dans ce but, l’expert a pris l’option de s’inspirer du chiffre 7.9 (p. 45) de la norme SIA-102 (2003) – qui prévoit le fractionnement en phase partielle du projet – pour fixer le montant des honoraires dû pour chaque phase d’un ouvrage, même si les parties n’avaient pas intégré expressément cette norme à leurs contrats. Comme on l’a vu plus haut (consid. 5.2.2 et l’arrêt cité [TF 4C.158/2001 consid. 1c et 2, SJ 2002 I 204]), une telle approche est admise par le Tribunal fédéral. Cette solution est par ailleurs convaincante dans la mesure où elle respecte la volonté contractuelle des parties, l’expert ayant fixé les honoraires en prenant le 10% du coût total de l’ouvrage et en le réduisant en fonction des phases exécutées par l’intimée. En ce sens, elle paraît nettement plus adéquate que celle consistant à répartir entre les propriétaires concernés le montant de 300'000 fr. facturé par l’architecte sous-traitant, qui ne concerne aucunement l’appelant. A cela s’ajoute le fait qu’il est incontestable que G.________ a consacré du temps à cette première phase de contrat malgré la sous-traitance des plans, par son rôle d’interlocuteur principal de l’appelant et également par ses estimations de coûts. Ainsi, des honoraires fixés à 300'000 fr. – en plus de ne pas correspondre à la volonté contractuelle des parties – ne seraient de toute manière pas le reflet concret de la réalité et reviendraient à supprimer tout l’intérêt financier du projet pour l’intimée. Même s’il s’agit plutôt d’une question de droit qui ne lie pas les juges, cette solution n’a d’ailleurs pas été proposée par l’expert. Partant, le grief de l’appelant doit être rejeté et le jugement confirmé sur ce point. Le calcul même des honoraires sur la base de cette méthode n’étant pas contesté par l’appelant, il n’y a pas lieu d’y revenir ici.</w:t>
      </w:r>
    </w:p>
    <w:p>
      <w:r>
        <w:rPr>
          <w:b/>
        </w:rPr>
        <w:t>E. 7.1</w:t>
      </w:r>
    </w:p>
    <w:p>
      <w:r>
        <w:t>L’appelant relève encore que les acomptes versés à hauteur de 158'420 fr. couvraient très largement les frais d’ingénieur, dont l’intimée n’avait d’ailleurs pas été en mesure de prouver le paiement.</w:t>
      </w:r>
    </w:p>
    <w:p>
      <w:r>
        <w:t>- 29 -</w:t>
      </w:r>
    </w:p>
    <w:p>
      <w:r>
        <w:rPr>
          <w:b/>
        </w:rPr>
        <w:t>E. 7.2</w:t>
      </w:r>
    </w:p>
    <w:p>
      <w:r>
        <w:t>Compte tenu du considérant qui précède, les acomptes versés par l’appelant à hauteur de 158'420 fr. ne couvrent pas les frais d’ingénieur. Dans la mesure où les montants de 27'050 fr. et 3'800 fr. sont dus, il importe peu de savoir s’ils ont déjà été payés ou non par l’intimée. A cet égard, l’appel ne contient d’ailleurs qu’une critique superficielle et n’expose aucunement en quoi la motivation des premiers juges serait erronée (cf. art. 311 CPC et TF 4A_218/2017 du 14 juillet 2017 consid. 3.1.2), de sorte que ce grief doit de toute manière être considéré comme irrecevable.</w:t>
      </w:r>
    </w:p>
    <w:p>
      <w:r>
        <w:rPr>
          <w:b/>
        </w:rPr>
        <w:t>E. 8.1</w:t>
      </w:r>
    </w:p>
    <w:p>
      <w:r>
        <w:t>Compte tenu de ce qui précède, l’appel doit être rejeté et le jugement confirmé.</w:t>
      </w:r>
    </w:p>
    <w:p>
      <w:r>
        <w:rPr>
          <w:b/>
        </w:rPr>
        <w:t>E. 8.2</w:t>
      </w:r>
    </w:p>
    <w:p>
      <w:r>
        <w:t>Vu l’issue du litige, il se justifie de mettre les frais judiciaires de deuxième instance, arrêtés à 2’585 fr. (1'000 fr. + 1% de 158'510 fr. ; art. 62 al. 2 TFJC [tarif des frais judiciaires civils du 28 septembre 2010 ; BLV 270.11.5]), à la charge de l'appelant qui succombe (art. 106 al. 1 CPC).</w:t>
      </w:r>
    </w:p>
    <w:p>
      <w:r>
        <w:rPr>
          <w:b/>
        </w:rPr>
        <w:t>E. 8.3</w:t>
      </w:r>
    </w:p>
    <w:p>
      <w:r>
        <w:t>La charge des dépens est évaluée à 4'000 fr. pour chaque partie (art. 7 TDC [tarif des dépens en matière civile du 23 novembre 2010 ; BLV 270.11.6]). Pour les mêmes motifs, elle doit être supportée par l'appelant, qui versera ce montant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