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PT15.030132 vom 24. Oktober 2017</w:t>
      </w:r>
    </w:p>
    <w:p>
      <w:r>
        <w:t>VD Tribunal cantonal, 2017-10-24, FR</w:t>
      </w:r>
    </w:p>
    <w:p>
      <w:r>
        <w:rPr>
          <w:b/>
        </w:rPr>
        <w:t xml:space="preserve">Quelle: </w:t>
      </w:r>
      <w:r>
        <w:t>https://mcp.opencaselaw.ch/entscheid/vd_gerichte_PT15.030132</w:t>
      </w:r>
    </w:p>
    <w:p>
      <w:r>
        <w:t>FR: VD_GERICHTE PT15.030132 du 24 octobre 2017</w:t>
      </w:r>
    </w:p>
    <w:p>
      <w:r>
        <w:t>IT: VD_GERICHTE PT15.030132 del 24 ottobre 2017</w:t>
      </w:r>
    </w:p>
    <w:p>
      <w:pPr>
        <w:pStyle w:val="Heading2"/>
      </w:pPr>
      <w:r>
        <w:t>Erwägungen</w:t>
      </w:r>
    </w:p>
    <w:p>
      <w:r>
        <w:rPr>
          <w:b/>
        </w:rPr>
        <w:t>E. 3.1</w:t>
      </w:r>
    </w:p>
    <w:p>
      <w:r>
        <w:t>L'appelant reproche aux premiers juges d'avoir construit leur raisonnement sur les seuls art. 641 CC (Code civil suisse du 10 décembre 1907 ; RS 210) et 41 ss CO (Code des obligations ; RS 220) alors que l'art. 691 CC aurait dû trouver application, si bien que les conditions applicables à l'indemnisation du dommage subi par l'appelant ne seraient pas les mêmes.</w:t>
      </w:r>
    </w:p>
    <w:p>
      <w:r>
        <w:rPr>
          <w:b/>
        </w:rPr>
        <w:t>E. 3.2</w:t>
      </w:r>
    </w:p>
    <w:p>
      <w:r>
        <w:t>Selon l'art. 732 al. 1 CC, dans sa teneur en vigueur depuis le 1er janvier 2012, l'acte constitutif d'une servitude n'est valable que s'il a été passé en la forme authentique. Cette validité concerne non seulement l'existence d'un titre permettant l'inscription au registre foncier, mais aussi l'existence de l'obligation elle-même (Petitpierre, in Basler Kommentar, Zivilgesetzbuch, 4e éd., vol. Il (art. 457-977 CC), Bâle 2011, n. 16 ad art. 732 CC). L'engagement sous seing privé de constituer une servitude est ainsi sans portée juridique. Tel n'était cependant pas le cas au moment de l'établissement du document susmentionné, dès lors que l'art. 732 al. 1 aCC n'exigeait que la forme écrite pour constituer une servitude. Il n'est pas nécessaire de fixer dans l'acte constitutif la contre-prestation qui serait due pour la constitution et ou l'exercice de la servitude (Steinauer, Les droits réels, tome II, 2e éd., 1994, n. 2226a p. 306,) et le contrat constitutif de servitude est un contrat obligationnel sui generis (Steinauer, op. cit., n. 2226d, p. 306). Aux termes de l'art. 691 al. 1 CC, le propriétaire d'un fonds est tenu, contre réparation intégrale du dommage, de permettre l'établissement à travers son fonds des lignes ou des conduites de desserte et d'évacuation permettant de viabiliser un autre fonds s'il est impossible ou excessivement coûteux d'équiper celui-ci autrement. Cette disposition introduit une restriction légale de la propriété foncière,</w:t>
      </w:r>
    </w:p>
    <w:p>
      <w:r>
        <w:t>- 9 - imposant à un propriétaire de supporter, à certaines conditions, que des conduites traversent son fonds (Steinauer, Les droits réels, tome Il, 4e éd., 2012, n. 1847 ; Rey/Strebel, Basler Kommentar, op. cit., n. 1 ad art. 691 CC). Le propriétaire qui veut établir la conduite dispose ainsi, de par la loi, d'une créance propter rem lui permettant d'exiger de tout propriétaire actuel du fonds voisin la constitution d'une servitude de conduite, par voie amiable ou par jugement. La convention ou le jugement sont tous deux constitutifs ; il n'est donc pas nécessaire que la servitude soit inscrite au registre foncier, mais l'inscription est possible à la requête de l'ayant droit (art. 691 al. 3 CC ; TF 5C.278/2001 du 13 février 2002 consid. 4c ; Meyer-Henchoz, Berner Kommentar, n. 75 ad art. 691 CC). Les conditions légales permettant au propriétaire d'obtenir du voisin la constitution d'une servitude de conduite sont les suivantes : le propriétaire du fonds dominant ne doit pas se trouver dans un cas où il pourrait demander l'expropriation (art. 691 al. 2 CC) ; le propriétaire du fonds grevé n'est tenu de permettre l'établissement de la conduite à travers son fonds que s'il est impossible d'exécuter l'ouvrage autrement ou sans frais excessifs et il a en outre le droit d'obtenir la réparation intégrale du dommage qu'il subit (art. 691 al. 1 CC). 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du fonds dominant en tirera. A défaut d'accord entre les parties, l'autorité saisie du litige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(ATF 136 III 269 consid. 5.1 et les réf. cit.).</w:t>
      </w:r>
    </w:p>
    <w:p>
      <w:r>
        <w:rPr>
          <w:b/>
        </w:rPr>
        <w:t>E. 3.3</w:t>
      </w:r>
    </w:p>
    <w:p>
      <w:r>
        <w:t>L'appelant plaide l'application de l'art. 691 CC pour en déduire un devoir du juge d'examiner d'office la quotité du dommage allégué en procédure, et donc d'ordonner une expertise s'il estimait que l'expertise privée réalisée par [...] n'avait pas une valeur probante suffisante. Se</w:t>
      </w:r>
    </w:p>
    <w:p>
      <w:r>
        <w:t>- 10 - basant sur la doctrine, il soutient qu’il appartenait aux premiers juges de déterminer la hauteur du dommage (Eggs, Les "autres préjudices" de l'expropriation, thèse 2013, p. 48). Ce raisonnement tombe à faux. L'appelant a allégué qu'afin que l'intimée puisse procéder au raccordement des conduites d'eaux usées et d'eaux claires, une servitude en faveur du fonds de l'intimée et grevant son propre fonds a été constituée (all. 11). Cela résulte par ailleurs également de la pièce 202. Il ressort en outre du jugement entrepris − non contesté sur ce point − que la parcelle de l'intimée bénéficiait de plusieurs servitudes de canalisation et que le défrichage des plans de vigne pour l'accès au chantier était prévu entre les parties (cf. jugement, consid. 5 et 6 en fait p. 6 s.). Ainsi, contrairement à ce que soutient l'appelant, son action est purement une action en dommages et intérêts et non une action relevant du droit de voisinage ou du droit de l'expropriation dès lors que les parties étaient d'accord sur le principe même d'une servitude. Il n'appartenait par conséquent pas aux premiers juges d'examiner d'office quel était le montant du préjudice subi pour procéder à une pesée des intérêts en présence, comme ce serait le cas dans le cadre d'une action relevant des rapports de voisinage (art. 691 CC). Il ne s'agit pas non plus d'une action en cessation de trouble (art. 641 CC), comme retenu par les premiers juges, mais d'une action en réparation du dommage relevant des règles sur la responsabilité civile. C’est ainsi à bon droit que les premiers juges ont retenu que le dommage devait être prouvé conformément aux règles de procédure civile. Toutefois, dès lors que la servitude est un contrat obligationnel, c’est l’art. 97 CO et non l’art. 41 CO qui s’applique.</w:t>
      </w:r>
    </w:p>
    <w:p>
      <w:r>
        <w:rPr>
          <w:b/>
        </w:rPr>
        <w:t>E. 4.1</w:t>
      </w:r>
    </w:p>
    <w:p>
      <w:r>
        <w:t>L'appelant se plaint d’une fausse appréciation des preuves car les premiers juges ne pouvaient pas écarter une expertise privée alors même qu'aucune allégation de la partie adverse n'était propre à remettre en doute la crédibilité de cette expertise. Il ajoute que l'intimée serait d'accord sur le principe de l'indemnisation, ce qui rendrait le jugement d'autant plus arbitraire.</w:t>
      </w:r>
    </w:p>
    <w:p>
      <w:r>
        <w:t>- 11 -</w:t>
      </w:r>
    </w:p>
    <w:p>
      <w:r>
        <w:rPr>
          <w:b/>
        </w:rPr>
        <w:t>E. 4.2</w:t>
      </w:r>
    </w:p>
    <w:p>
      <w:r>
        <w:t>Selon l'art. 55 CPC, les parties allèguent les faits sur lesquels elles fondent leurs prétentions et produisent les preuves qui s'y rapportent. La caractéristique essentielle de la maxime des débats est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ou prouvés (CACI 30 mai 2016/89 consid. 7.2.2 et les réf. cit.). Sauf exception, la procédure ordinaire est dominée par la maxime des débats (Tappy, Code de procédure civile commenté, Bâle 2011, n. 6 ad art. 219 CPC). Les moyens de preuve admissibles en procédure civile sont listés à l'art. 168 CPC. L'expert judiciaire, au sens des art. 183 ss CPC,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120 III 79 consid. 2b ; ATF 118 la 144 consid. 1c ; TF 5A_802/2014 du 7 novembre 2014 consid. 4.1 ; Schweizer, Code de procédure civile commenté, op. cit., n. 1 ad art. 183 CPC). « L'expertise » privée produite en procédure vaut comme simple déclaration de partie. Selon le Tribunal fédéral, « l'expertise » privée n'a ni la portée d'une expertise au sens des art. 183 ss CPC ni même la portée d'un moyen de preuve au sens de l'art. 168 CPC (ATF 141 III 433 consid. 2.5.3, SJ 2016 1162). Un tel document est en effet dépourvu des garanties constitutionnelles et légales s'agissant notamment du droit d'être entendu (art. 53 al. 1 CPC) et du droit à une instruction contradictoire (art. 6 CEDH ; ATF 133 I 1 consid. 5, JdT 2008 I 339 ; ATF 122 I 253 consid. 6b-d, JdT 1997 1214). Selon la jurisprudence, un simple devis ne permet pas de retenir la réalité de frais qui auraient été engagés (TF 5C.269/1999 du 12</w:t>
      </w:r>
    </w:p>
    <w:p>
      <w:r>
        <w:t>- 12 - février 2001 consid. 3 ; CACI du 4 avril 2017/64 consid. 5.2.3 ; CACI du 1er septembre 2016/488 consid. 5.5.3). Pour être retenu dans l'état de fait d'un jugement civil, un devis doit être instruit en contradictoire par un expert selon la procédure décrite aux art. 183 ss CPC.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Bâle 2009,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 cit.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consid. 2.2 ; ATF 130 III 321 consid. 3.4 ; ATF 115 Il 305 ; Steinauer, op. cit., n. 675 et les réf. cit. aux notes infrapaginales nn. 84 et 85 ; CACI du 10 avril 2015/175 consid. 3). Une expertise privée n'est ni une expertise au sens des art. 183 ss CPC, laquelle doit être requise par le tribunal, ni un titre au sens des art. 177 ss CPC. En tant que telle, l'expertise privée doit cependant être contestée de manière suffisamment circonstanciée (TF 4A_318/2016 du 3 août 2016 consid. 3.1). Une contestation globale ne suffit pas, la partie intimée étant tenue de détailler quels éléments de fait elle conteste</w:t>
      </w:r>
    </w:p>
    <w:p>
      <w:r>
        <w:t>- 13 - concrètement. Par ailleurs, l'expertise privée peut, si elle est corroborée par d'autres indices dûment prouvés, contribuer à la preuve. Le tribunal ne saurait dès lors se fonder sur une expertise privée dûment contestée comme seul moyen de preuve (ATF 141 III 433 consid. 2). Une expertise privée n'a ainsi pas valeur de moyen de preuve mais de simple déclaration de partie (ATF 140 III 24 consid. 3.3.3, JdT 2016 Il 308 ; TF 4A_286/2011 du 30 août 2011 consid. 4, in RSPC 2012 p. 116 ; ATF 132 III 83 consid. 3.6).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4A_58/2008 du 28 avril 2008 consid. 5.3 ; TF 4A_71/2013 du 26 février 2014 consid. 2.5).</w:t>
      </w:r>
    </w:p>
    <w:p>
      <w:r>
        <w:rPr>
          <w:b/>
        </w:rPr>
        <w:t>E. 4.3</w:t>
      </w:r>
    </w:p>
    <w:p>
      <w:r>
        <w:t>En l'espèce, l'expertise privée concernant le dommage lié aux frais de remise en état de la vigne, à la perte de récolte, ainsi que d'autres préjudices a été produite en pièce 18 à l’appui de l’allégué 35. Celui-ci a été contesté par l'intimée dans sa réponse, qui allègue à son tour avoir proposé une indemnisation à l'appelant sur la base d'un calcul au prorata par rapport à l'indemnisation requise par un voisin dans la même situation (cf. all. 99 ss), voisin qui avait lui-même chiffré son dommage. L'intimée a dès lors proposé une autre méthode de calcul et n'a pas pu faire valoir son point de vue auprès de l'expert privé. Il est étonnant de constater que le voisin a réclamé 4'500 fr. pour 178 plants remplacés (pièces 121 et 122), alors qu’il ressort du courrier du 23 avril 2015 que le conseil de l'intimée a</w:t>
      </w:r>
    </w:p>
    <w:p>
      <w:r>
        <w:t>- 14 - adressé au conseil de l’appelant (cf. P 6) que 97 plants ont été enlevés chez l'appelant. L'expertise privée mentionne 259 plants (149 + 56 + 54) à remplacer, ce qui met en évidence que l'intimée n'a pas pu faire valoir son point de vue auprès de l'expert, notamment le fait qu'elle estimait ne pas devoir assumer financièrement le déplacement au sud d'un certain nombre de ceps de vigne situés à proximité (cf. all. 115). Ainsi, conformément aux principes exposés ci-dessus, il eût été arbitraire de retenir comme probants les chiffres avancés par l'expert privé. Comme retenu par les premiers juges, peu importe que l'expert mandaté soit un expert reconnu ou qu'il soit compliqué d'en trouver un autre dans le canton, dès lors que l'appelant pouvait faire appel à un organisme similaire dans un autre canton et qu'il y a renoncé dans le cadre de la procédure.</w:t>
      </w:r>
    </w:p>
    <w:p>
      <w:r>
        <w:rPr>
          <w:b/>
        </w:rPr>
        <w:t>E. 5</w:t>
      </w:r>
    </w:p>
    <w:p>
      <w:r>
        <w:t>Au vu de ce qui précède, l’appel doit être rejeté et le jugement confirmé. Les frais judiciaires de deuxième instance, arrêtés à 849 fr. (art. 62 al. 1 TFJC [tarif des frais judiciaires civils du 28 septembre 2010 ; RSV 270.11.5]), seront mis à la charge de l’appelant W.________, qui succombe (art. 106 al. 1 CPC). L’appelant devra verser à l’intimée Y.________ Sàrl la somme de 1’600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