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PT15.009915 vom 3. Februar 2016</w:t>
      </w:r>
    </w:p>
    <w:p>
      <w:r>
        <w:t>VD Tribunal cantonal, 2016-02-03, FR</w:t>
      </w:r>
    </w:p>
    <w:p>
      <w:r>
        <w:rPr>
          <w:b/>
        </w:rPr>
        <w:t xml:space="preserve">Quelle: </w:t>
      </w:r>
      <w:r>
        <w:t>https://mcp.opencaselaw.ch/entscheid/vd_gerichte_PT15.009915</w:t>
      </w:r>
    </w:p>
    <w:p>
      <w:r>
        <w:t>FR: VD_GERICHTE PT15.009915 du 3 février 2016</w:t>
      </w:r>
    </w:p>
    <w:p>
      <w:r>
        <w:t>IT: VD_GERICHTE PT15.009915 del 3 febbraio 2016</w:t>
      </w:r>
    </w:p>
    <w:p>
      <w:pPr>
        <w:pStyle w:val="Heading2"/>
      </w:pPr>
      <w:r>
        <w:t>Erwägungen</w:t>
      </w:r>
    </w:p>
    <w:p>
      <w:r>
        <w:rPr>
          <w:b/>
        </w:rPr>
        <w:t>E. 3</w:t>
      </w:r>
    </w:p>
    <w:p>
      <w:r>
        <w:t>Les recourants contestent la quotité des dépens qui leur ont été alloués, faisant valoir qu'au jour où leur conseil a eu connaissance du désistement d'action, celui-ci avait déjà travaillé au projet de réponse, pour une durée de 35 heures de travail. La décision critiquée s'écarterait sans motivation de la note de frais du 23 septembre 2015 pour allouer un montant équivalant à un peu plus de 8,5 heures de travail au tarif horaire de 350 francs. Ce montant ne serait pas non plus justifiable sous l'angle des art. 95 al. 3 let. b et 96 CPC ainsi que 1 al. 1 let. a et b, 3 et 4 TDC. Les recourants soutiennent s'être strictement conformés à l'art. 105 al. 2 in fine CPC, en ne produisant qu'une note de frais et non le projet de réponse, dès lors que la partie adverse n'avait pas contesté le montant</w:t>
      </w:r>
    </w:p>
    <w:p>
      <w:r>
        <w:t>- 7 - des dépens réclamés, mais seulement le principe de l'allocation et que le temps déjà consacré à la réponse n'avait fait l'objet d'aucune interpellation ni instruction de la première juge. Les recourants font en définitive valoir une indemnité de dépens correspondant à 28 heures de travail au tarif de 350 francs, soit un montant arrondi de 10'000 francs.</w:t>
      </w:r>
    </w:p>
    <w:p>
      <w:r>
        <w:rPr>
          <w:b/>
        </w:rPr>
        <w:t>E. 3.1</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En l’espèce, l’intimée s’est déterminée sur le sort des dépens tant dans son annonce de désistement du 18 septembre 2015 que dans ses déterminations du 2 octobre 2015. Quant aux recourants, ils ont par deux fois, les 23 septembre et 7 octobre 2015, pièce et arguments à l’appui, sollicité l’allocation d’une pleine indemnité de dépens. Une première décision sur les dépens est intervenue le 9 octobre 2015. Elle a été rectifiée le 11 novembre 2015, sur demande des recourants et après que l’intimée ait à nouveau été invitée à se déterminer. Ainsi, force est de constater que les parties ont été entendues sur la question de l’allocation des dépens. Certes, la motivation au sens strict de la décision des 9 octobre et 11 novembre 2015, qui consiste en une référence à l’art. 106 al. 1 CPC, est succincte. Toutefois, le contexte procédural dans lequel est intervenue cette décision, notamment les déterminations des parties qui l’ont précédée, permet de comprendre que la liste des opérations déposée par le conseil des recourants a été réduite, le premier juge ayant estimé les opérations nécessaires pour la procédure de conciliation, le début de la</w:t>
      </w:r>
    </w:p>
    <w:p>
      <w:r>
        <w:t>- 8 - procédure ordinaire et la préparation d’une réponse qui n’a en définitive jamais été déposée à 3'000 francs. Les recourants sont en mesure de contester utilement cette décision en deuxième instance. Partant, le grief tiré du défaut de motivation de la décision entreprise est mal fondé.</w:t>
      </w:r>
    </w:p>
    <w:p>
      <w:r>
        <w:rPr>
          <w:b/>
        </w:rPr>
        <w:t>E. 3.2</w:t>
      </w:r>
    </w:p>
    <w:p>
      <w:r>
        <w:t>Les frais, qui comprennent les dépens (art. 95 al. 1 let. b CPC), sont mis à la charge de la partie succombante. La partie succombante est le demandeur lorsque le tribunal n'entre pas en matière et en cas de désistement d'action ; elle est le défendeur en cas d'acquiescement (art. 106 al. 1 CPC). La perte d'un procès peut ainsi découler aussi bien d'un motif procédural que de fond (Tappy, op. cit., n. 13 ad art. 106 CPC). Les frais sont fixés selon un tarif édicté par les cantons conformément à l'art. 96 CPC, lequel est supposé indemniser l'ensemble des opérations effectuées jusqu'à la décision finale, y compris la procédure de conciliation (ATF 141 III 20 consid. 5.3, RSPC 2015 p. 1666). Les parties peuvent produire une note de frais (art. 105 al. 2, 2e phr. CPC). Le fait d'adresser au tribunal une note de frais constitue une conclusion implicite en dépens (ATF 140 III 159 consid. 4.4, RSPC 2014 p. 326 note Tappy). Dès lors que la liste de frais produite par la partie demanderesse influence le calcul du montant mis à la charge de la partie défenderesse à titre de dépens, elle doit lui être communiquée pour prise de position, sauf à violer son droit d'être entendu (TF 4A 592/2014 du 25 février 2015 consid. 3). La motivation du montant arrêté au titre des dépens n'est en principe pas nécessaire lorsque l'autorité s'en tient aux limites du tarif applicable et que les parties n'allèguent aucune circonstance particulière (ATF 111 la 1 consid. 2a); en revanche, lorsque l'autorité se prononce sur la base d'une liste de frais et qu'elle entend s'en écarter, elle doit au moins brièvement indiquer les raisons pour lesquelles elle en élimine certains postes, afin que la partie concernée puisse éventuellement attaquer la décision en connaissance de cause (TF 4A_592/2014 du 25 février 2015 consid. 3 et les réf. cit.). Dans le canton de Vaud, le tarif des frais est arrêté par le Tribunal cantonal (art. 37 al. 1 CDPJ [Code de droit privé judiciaire vaudois</w:t>
      </w:r>
    </w:p>
    <w:p>
      <w:r>
        <w:t>- 9 - du 12 janvier 2010 ; RSV 211.02]), qui a édicté le tarif du 23 novembre 2010 des dépens en matière civile (TDC ; RSV 270.11.6).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Selon l'art. 3 al. 2 TDC, dans les contestations portant sur des affaires patrimoniales, le défraiement est fixé selon le type de procédure et la valeur litigieuse, en considération de l'importance de la cause, de ses difficultés, de l'ampleur du travail et du temps consacré par l'avocat ; le juge apprécie l'étendue des opérations nécessaires pour la conduite du procès et se fonde, en règle générale, sur le tarif horaire moyen usuellement admis. Lorsque le représentant est un avocat agissant dans une cause en procédure ordinaire, l'art. 4 al. 1 TDC prévoit ainsi un montant de dépens compris entre 3'000 et 15'000 fr. pour une cause dont la valeur litigieuse se situe entre 30'001 et 100'000 francs. Toutefois, lorsqu'il y a disproportion manifeste entre la valeur litigieuse et l'intérêt des parties au procès ou entre le taux applicable selon le tarif et le travail effectif du représentant professionnel, le juge peut fixer des dépens inférieurs au taux minimum (art. 20 al. 2 TDC).</w:t>
      </w:r>
    </w:p>
    <w:p>
      <w:r>
        <w:rPr>
          <w:b/>
        </w:rPr>
        <w:t>E. 3.3</w:t>
      </w:r>
    </w:p>
    <w:p>
      <w:r>
        <w:t>En l’espèce, le premier juge a fixé l’indemnité de dépens en faveur des recourants à 3'000 fr., montant correspondant à la limite inférieure de la fourchette prévue à l’art. 4 TDC, compte tenu d’une valeur litigieuse estimée par l’intimée à 79'900 fr., ce qui revenait à indemniser 10 heures de travail à 300 fr. ou 8,57 heures à 350 francs. Dans l’esprit du premier juge, la liste des opérations déposée par les recourants devait être réduite, le montant retenu indemnisant adéquatement le temps consacré à la procédure de conciliation, aux première opérations liées à la procédure ordinaire et à la préparation d’une réponse qui n’a au final pas été déposée.</w:t>
      </w:r>
    </w:p>
    <w:p>
      <w:r>
        <w:t>- 10 - Cette appréciation est discutable. Certes, le désistement est intervenu à un stade relativement précoce de la procédure, soit au moment de la rédaction par les recourants d’un projet de réponse. Toutefois, il faut tenir compte du fait que la réponse, en ce qu’elle contribue de manière déterminante à la conduite et à l'ampleur du procès, revêt une importance considérable pour la partie défenderesse, qu'une procédure en passage nécessaire impliquant plusieurs propriétaires fonciers comme en l'espèce est complexe et que si les 35 heures alléguées par les recourants pour la préparation d’une réponse étaient effectivement excessives, les 10 heures, respectivement 8,57 heures retenues par le premier juge – procédure de conciliation et premières opérations liées à la procédure ordinaire comprises – apparaissent insuffisantes, compte tenu de l’importance et de la difficulté de la cause. Considérant le déroulement de la procédure et la liste des opérations déposée le 23 septembre 2015, il faut admettre que dès le 11 septembre 2015, jour de la dernière prolongation du délai de réponse, Me Bugnon s'est attelé à la rédaction de cette écriture. Sachant que les opérations effectuées jusqu'à ce stade – et qui apparaissent pleinement justifiées – avaient déjà représenté 6 heures de travail d'avocat et qu'elles impliquaient une bonne connaissance préalable du dossier, on peut estimer le temps nécessaire à la rédaction de la réponse à 10 heures de travail supplémentaire et la confection du bordereau des pièces à 30 minutes. Ainsi, en définitive, le travail total effectué par Me Bugnon au stade du projet de réponse peut être estimé à 16 heures et 30 minutes, soit 4'950 fr. à un tarif horaire de 300 fr., plus 171 fr. 50 de débours selon la liste des opérations du 23 septembre 2015, plus la TVA par 8 % sur le tout, soit la somme totale de 5'535 fr., montant arrondi. Ainsi, le grief des recourants tiré de la mauvaise application des dispositions relatives aux dépens est fondé.</w:t>
      </w:r>
    </w:p>
    <w:p>
      <w:r>
        <w:rPr>
          <w:b/>
        </w:rPr>
        <w:t>E. 4</w:t>
      </w:r>
    </w:p>
    <w:p>
      <w:r>
        <w:t>Il découle des considérants qui précèdent que le recours doit être partiellement admis et la décision entreprise réformée en ce sens que les dépens alloués aux recourants et mis à la charge de l’intimée sont arrêtés à 5'535 fr., TVA et débours compris. Les recourants concluaient en</w:t>
      </w:r>
    </w:p>
    <w:p>
      <w:r>
        <w:t>- 11 - deuxième instance à l’allocation de dépens par 10'000 francs ; ils en obtiennent finalement à peine plus de la moitié. Partant, les frais judiciaires de deuxième instance, arrêtés à 400 fr. (art. 69 al. 1 et 70 al. 3 TFJC [tarif des frais judiciaires civils du 28 septembre 2010 ; RSV 270.11.5]), doivent être mis pour moitié, soit par 200 fr., à la charge des recourants, solidairement entre eux, et pour moitié, soit par 200 fr., à la charge de l’intimée. Par analogie de motifs, les dépens de deuxième instance peuvent être compensés. L’intimée versera aux recourants la somme de 200 fr. à titre de restitution d’avance de frais de deuxième instance. Par ces motifs, la Chambre des recours civile du Tribunal cantonal, prononce : I. Le recours est partiellement admis. II. La décision est réformée en ce sens que les dépens alloués aux défendeurs E.________ et T.________ mis à la charge de la demanderesse I.________ sont arrêtés à 5'535 fr. (cinq mille cinq cent trente-cinq francs), TVA et débours compris. III. Les frais judiciaires de deuxième instance, arrêtés à 400 fr. (quatre cents francs), sont mis à la charge des recourants, solidairement entre eux, par 200 fr. (deux cents francs) et à la charge de l’intimée par 200 fr. (deux cents francs). IV. Les dépens de deuxième instance sont compensés et l’intimée I.________ doit verser aux recourants E.________ et T.________ la somme de 200 fr. (deux cents francs) à titre de restitution d’avance de frais de deuxième instance. V. L’arrêt motivé est exécutoire.</w:t>
      </w:r>
    </w:p>
    <w:p>
      <w:r>
        <w:t>- 12 - Le président : Le greffier : Du 4 février 2016 Le dispositif de l'arrêt qui précède est communiqué par écrit aux intéressés. Le greffier : Du L'arrêt qui précède, dont la rédaction a été approuvée à huis clos, est notifié en expédition complète, par l'envoi de photocopies, à : - Me Cyrille Bugnon (pour E.________ et T.________), - Me Yvan Henzer (pour I.________). La Chambre des recours civile considère que la valeur litigieuse est inféreure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Madame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