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PT14.044833 vom 3. August 2018</w:t>
      </w:r>
    </w:p>
    <w:p>
      <w:r>
        <w:t>VD Tribunal cantonal, 2018-08-03, FR</w:t>
      </w:r>
    </w:p>
    <w:p>
      <w:r>
        <w:rPr>
          <w:b/>
        </w:rPr>
        <w:t xml:space="preserve">Quelle: </w:t>
      </w:r>
      <w:r>
        <w:t>https://mcp.opencaselaw.ch/entscheid/vd_gerichte_PT14.044833</w:t>
      </w:r>
    </w:p>
    <w:p>
      <w:r>
        <w:t>FR: VD_GERICHTE PT14.044833 du 3 août 2018</w:t>
      </w:r>
    </w:p>
    <w:p>
      <w:r>
        <w:t>IT: VD_GERICHTE PT14.044833 del 3 agosto 2018</w:t>
      </w:r>
    </w:p>
    <w:p>
      <w:pPr>
        <w:pStyle w:val="Heading2"/>
      </w:pPr>
      <w:r>
        <w:t>Erwägungen</w:t>
      </w:r>
    </w:p>
    <w:p>
      <w:r>
        <w:rPr>
          <w:b/>
        </w:rPr>
        <w:t>E. 29</w:t>
      </w:r>
    </w:p>
    <w:p>
      <w:r>
        <w:t>novembre 2017 consid. 5.3 ; TF 4A_355/2017 du 29 novembre 2017 consid. 4.3). Il n’est désormais plus contesté que le litige doit être résolu en l’espèce en application de l’art. 6 al. 2 let. d LPD. 3.2.2 3.2.2.1 Selon l'art. 6 al. 1 LPD, aucune donnée personnelle (sur la notion de donnée personnelle,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w:t>
      </w:r>
    </w:p>
    <w:p>
      <w:r>
        <w:t>- 29 -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- 30 -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3.2.3.2 En l’occurrence, le premier juge a retenu que le fait qu'une mise en accusation de la banque entraînerait sa disparition était incertain, ce scénario paraissant improbable, d'autant que celle-ci n'était pas,</w:t>
      </w:r>
    </w:p>
    <w:p>
      <w:r>
        <w:t>- 31 -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le demandeur était, pour les Etats-Unis, un "petit poisson",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il devait s'attendre, en cas de transmission des données le concernant,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3.2.3.3.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 4. L'appelante fait encore valoir que la transmission de données au DOJ dans le contexte d'un accord de non-poursuite serait nécessaire pour « la défense d'un droit en justice » au sens de l'art. 6 al. 2 let. d 2e alternative LPD.</w:t>
      </w:r>
    </w:p>
    <w:p>
      <w:r>
        <w:t>- 32 -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Le solde de l’avance de frais effectuée par l’appelante lui sera restitué à hauteur de 500 fr. (art. 111 CPC). Obtenant gain de cause, l’intimé a droit à des dépens pour la procédure d’appel, fixés à 3'000 fr. (art.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