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PT14.029649 vom 25. Juni 2019</w:t>
      </w:r>
    </w:p>
    <w:p>
      <w:r>
        <w:t>VD Tribunal cantonal, 2019-06-25, FR</w:t>
      </w:r>
    </w:p>
    <w:p>
      <w:r>
        <w:rPr>
          <w:b/>
        </w:rPr>
        <w:t xml:space="preserve">Quelle: </w:t>
      </w:r>
      <w:r>
        <w:t>https://mcp.opencaselaw.ch/entscheid/vd_gerichte_PT14.029649</w:t>
      </w:r>
    </w:p>
    <w:p>
      <w:r>
        <w:t>FR: VD_GERICHTE PT14.029649 du 25 juin 2019</w:t>
      </w:r>
    </w:p>
    <w:p>
      <w:r>
        <w:t>IT: VD_GERICHTE PT14.029649 del 25 giugno 2019</w:t>
      </w:r>
    </w:p>
    <w:p>
      <w:pPr>
        <w:pStyle w:val="Heading2"/>
      </w:pPr>
      <w:r>
        <w:t>Erwägungen</w:t>
      </w:r>
    </w:p>
    <w:p>
      <w:r>
        <w:rPr>
          <w:b/>
        </w:rPr>
        <w:t>E. 3.1</w:t>
      </w:r>
    </w:p>
    <w:p>
      <w:r>
        <w:t>Les appelants font d’abord valoir que le jugement entrepris violerait leur droit d'être entendus, dès lors qu'il n'indiquerait pas le moindre motif ayant conduit les premiers juges à nier l'existence d'un quelconque chef de responsabilité de Q.________ en lien avec les prêts concédés par E.K.________ et C.K.________.</w:t>
      </w:r>
    </w:p>
    <w:p>
      <w:r>
        <w:rPr>
          <w:b/>
        </w:rPr>
        <w:t>E. 3.2</w:t>
      </w:r>
    </w:p>
    <w:p>
      <w:r>
        <w:t>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142 III 433 consid. 4.3.2 ; ATF 133 III 439 consid. 3.3, JdT 2008 I 4). Une motivation implicite, résultant des différents considérants de la décision, suffit à respecter le droit d'être entendu (ATF 141 V 557 consid.</w:t>
      </w:r>
    </w:p>
    <w:p>
      <w:r>
        <w:rPr>
          <w:b/>
        </w:rPr>
        <w:t>E. 3.2.1</w:t>
      </w:r>
    </w:p>
    <w:p>
      <w:r>
        <w:t>; TF 5A_278/2012 du 14 juin 2012 consid. 4.1).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w:t>
      </w:r>
    </w:p>
    <w:p>
      <w:r>
        <w:t>- 11 - erronée (ATF 141 V 557 consid. 3.2.1 ; Colombini, Code de procédure civile, Condensé de la jurisprudence fédérale et vaudoise, 2018, n. 3.2.2 ad art. 239 CPC).</w:t>
      </w:r>
    </w:p>
    <w:p>
      <w:r>
        <w:rPr>
          <w:b/>
        </w:rPr>
        <w:t>E. 3.3</w:t>
      </w:r>
    </w:p>
    <w:p>
      <w:r>
        <w:t>En l’espèce, les premiers juges ont considéré, en ce qui concernait les prêts accordés par E.K.________ et C.K.________, que l'instruction n'avait pas permis de déterminer si Q.________ avait recommandé ou incité ceux-ci à investir leur épargne par le biais de prêts auprès d’I.________ et qu'aucun document ne démontrait que Q.________ aurait agi en qualité de gestionnaire de fonds ou de conseiller en placement pour ceux-ci, de sorte que l'on ne pouvait pas retenir une quelconque responsabilité de Q.________ envers E.K.________ et C.K.________. Cette motivation est suffisante pour permettre aux appelants de la contester de manière utile, ce qu'ils ont par ailleurs fait. Le grief est infondé.</w:t>
      </w:r>
    </w:p>
    <w:p>
      <w:r>
        <w:rPr>
          <w:b/>
        </w:rPr>
        <w:t>E. 4.1</w:t>
      </w:r>
    </w:p>
    <w:p>
      <w:r>
        <w:t>; TF 4A_168/2008 du 11 juin 2008 consid. 2.1, in SJ 2009 I 13). Dans le contrat de conseil en placements, le client sollicite des informations et conseils de la part de la banque, mais il décide toujours lui-même des opérations à effectuer ; la banque ne peut en entreprendre que sur instructions ou avec l'accord de son client (TF 4A_54/2017 du 29 janvier 2018 consid. 5.1.3 ; TF 4A_90/2011 du 22 juin 2011 consid. 2.2.1 ; TF 4A_262/2008 du 23 septembre 2008 consid. 2.1). Ce pouvoir décisionnel constitue le principal critère de distinction par rapport au contrat de gestion de fortune. Enfin, dans le contrat de simple compte/dépôt bancaire, la banque s'engage uniquement à exécuter les instructions ponctuelles d'investissement du client, sans être tenue de veiller à la sauvegarde générale des intérêts de celui-ci (TF 4A_54/2017 du 29 janvier 2018 consid. 5.1.4 ; TF 4C.385/2006 du 2 avril 2007 consid. 2.1; TF 4A_369/2015 du 25 avril 2016 consid. 2).</w:t>
      </w:r>
    </w:p>
    <w:p>
      <w:r>
        <w:rPr>
          <w:b/>
        </w:rPr>
        <w:t>E. 4.2</w:t>
      </w:r>
    </w:p>
    <w:p>
      <w:r>
        <w:t>Dans la mesure où les appelants entendent déduire de la relation de confiance entre l’intimé et B.K.________ une même relation de confiance entre l’intimé et E.K.________ et C.K.________, leur moyen est infondé. En effet, les conditions de responsabilité doivent être examinées de manière séparée envers chaque partie et pour chaque opération. Quant aux pièces citées par les appelants, celles-ci ne permettent pas de retenir que l'intimé aurait assumé une fonction de conseiller en placements envers les appelants E.K.________ et C.K.________, ni qu'il serait à l'origine des prêts concédés par ces derniers à I.________. Au contraire, l'initiative d'une nouvelle opération de prêt est clairement revenue à E.K.________ et C.K.________, qui ont repris contact à ce sujet avec l’intimé le 4 décembre 2006, sans solliciter le moindre conseil, mais en donnant des instructions claires à celui-ci. Quant à la première opération de prêt, le dossier ne contient aucune indication sur le rôle de l’intimé, de sorte que l'on ne peut pas retenir que ce dernier aurait été à l'origine des prêts, respectivement qu’il aurait assumé une responsabilité contractuelle. Par ailleurs, les appelants ne peuvent rien déduire en leur faveur du passage de l'interrogatoire de partie de l’intimé dont ils se prévalent. L’intimé s'est borné à indiquer avoir parlé à B.K.________ – et non aux appelants E.K.________ et C.K.________ – du parcours économique d’I.________, sans que l'on puisse en tirer un lien avec les prêts accordés par E.K.________ et C.K.________. Quant à l'interrogatoire de partie d'E.K.________ et C.K.________, il n'a qu'une valeur probante faible et n'est pas corroboré par d'autres éléments du dossier. En effet, la déposition de partie n'a, en raison de la partialité de son auteur, qu'une faible force</w:t>
      </w:r>
    </w:p>
    <w:p>
      <w:r>
        <w:t>- 13 - probante et doit être corroborée par un autre moyen de preuve (CACI 31 mars 2017/133 ; Colombini, op. cit., n. 2.3 ad art. 191 CPC). Enfin, le fait que l’intimé ait discuté par la suite avec E.K.________ et C.K.________ des modalités de remboursement et d'une prorogation de certains prêts est sans pertinence pour déterminer si c’est lui qui aurait incité les appelants à investir de manière hasardeuse, comme ceux-ci le plaident.</w:t>
      </w:r>
    </w:p>
    <w:p>
      <w:r>
        <w:rPr>
          <w:b/>
        </w:rPr>
        <w:t>E. 5</w:t>
      </w:r>
    </w:p>
    <w:p>
      <w:r>
        <w:t>Les appelants soutiennent ensuite que l'intimé aurait commis un acte illicite à leur encontre, en profitant de son statut de banquier retraité et expérimenté pour les convaincre de « jouer à la loterie » et d'investir leur épargne dans des prêts déraisonnables, à l'encontre des Directives de l'association suisse des banquiers. Dans la mesure où il n'est pas établi que l'intimé aurait été à l'origine des prêts litigieux, respectivement qu’il aurait incité ou conseillé les appelants E.K.________ et C.K.________ à octroyer les prêts litigieux, ni qu'il aurait assumé un mandat de conseil en placements à leur égard, leur thèse est d'emblée dépourvue de tout fondement, sans qu’il soit nécessaire d’examiner les conditions de l’art. 41 CO.</w:t>
      </w:r>
    </w:p>
    <w:p>
      <w:r>
        <w:rPr>
          <w:b/>
        </w:rPr>
        <w:t>E. 6.1</w:t>
      </w:r>
    </w:p>
    <w:p>
      <w:r>
        <w:t>En ce qui concerne les prêts octroyés par B.K.________ à I.________, l'intimé soutient que l'appelant B.K.________ aurait admis dans son audition qu'il avait agi comme intermédiaire et non en qualité de conseiller en placement. Ce serait dès lors à tort que les premiers juges ont retenu que B.K.________ et lui-même étaient liés par un contrat de conseil en placements.</w:t>
      </w:r>
    </w:p>
    <w:p>
      <w:r>
        <w:rPr>
          <w:b/>
        </w:rPr>
        <w:t>E. 6.2</w:t>
      </w:r>
    </w:p>
    <w:p>
      <w:r>
        <w:t>En matière de placements, la jurisprudence distingue trois types de relations contractuelles: le contrat de gestion de fortune («Vermögensverwaltungsvertrag »), le contrat de conseil en placements (« Anlageberatungsvertrag ») et la relation de simple compte/dépôt bancaire (« blosse Konto-/Depot-Beziehung ») (ATF 144 III 155 consid. 2.1 ;</w:t>
      </w:r>
    </w:p>
    <w:p>
      <w:r>
        <w:t>- 14 - ATF 133 III 97 consid. 7.1 ; TF 4A_593/2015 du 13 décembre 2016 consid. 7). 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(TF 4A_54/2017 du 29 janvier 2018 consid. 5.1.1 ; TF 4A_41/2016 du 20 juin 2016 consid. 3.1; TF 4A_336/2014 du 18 décembre 2014 consid.</w:t>
      </w:r>
    </w:p>
    <w:p>
      <w:r>
        <w:rPr>
          <w:b/>
        </w:rPr>
        <w:t>E. 6.3</w:t>
      </w:r>
    </w:p>
    <w:p>
      <w:r>
        <w:t>En l’espèce, les premiers juges, au moment de qualifier la relation contractuelle entre B.K.________ et l’intimé, ont relevé que le rôle de l’intimé était manifestement plus étendu que de simplement mettre en contact ou de servir d’intermédiaire, puisque des « contrats de mandat particulier » avaient été signés et que B.K.________ avait délivré des autorisations d’investissement « hors bancaires » à celui-ci. Cela étant, la prise de décision appartenait uniquement à B.K.________, lequel supportait seul le risque des opérations qu’il engageait, comme en attestaient les mentions sur les contrats de mandat du 16 avril 2009 et sur les différentes autorisations d’investissement adressées à l’intimé. Dès lors, la relation</w:t>
      </w:r>
    </w:p>
    <w:p>
      <w:r>
        <w:t>- 15 - entre B.K.________ et l’intimé devait être qualifiée de contrat de conseil en placements. Ce raisonnement est convaincant. A cet égard, les propos tenus par B.K.________ lors de son audition de partie doivent être replacés dans leur contexte. L'intéressé y a en effet précisé qu'il considérait l'intimé comme intermédiaire depuis qu'il savait que ce dernier avait créé une société avec I.________ et qu'il avait donc tout intérêt à ce qu'il prête de l'argent qui soit investi dans leurs activités. C'est le motif pour lequel il ne pensait pas que l'intimé avait agi comme conseiller dans ses intérêts. Les déclarations visées concernent donc la manière dont l'intimé aurait rempli son mandat et non la qualification des relations contractuelles, étant rappelé que l'appelant B.K.________ a par ailleurs confirmé qu'il considérait qu'il y avait entre eux un contrat oral pour la gestion de ses affaires. L'intimé ne peut rien en déduire en sa faveur et l'analyse faite par les premiers juges sur l'existence d’un contrat de conseil en placement avec B.K.________ doit être confirmée.</w:t>
      </w:r>
    </w:p>
    <w:p>
      <w:r>
        <w:rPr>
          <w:b/>
        </w:rPr>
        <w:t>E. 7.1</w:t>
      </w:r>
    </w:p>
    <w:p>
      <w:r>
        <w:t>L’appelant B.K.________ fait valoir qu'en lui conseillant d'investir son épargne sous forme de prêts à une personne physique à l'étranger sans aucune garantie, l'intimé lui aurait donné un conseil parfaitement déraisonnable, constitutif d’une violation du contrat de conseil en placement. Il voit en outre une autre violation du contrat dans le fait que l'intimé était dans un conflit d'intérêt manifeste, puisque celui-ci était également le créancier d’I.________ et l’associé de celui-là dans la société [...] Sàrl, ce dont il aurait omis de lui faire part.</w:t>
      </w:r>
    </w:p>
    <w:p>
      <w:r>
        <w:rPr>
          <w:b/>
        </w:rPr>
        <w:t>E. 7.2</w:t>
      </w:r>
    </w:p>
    <w:p>
      <w:r>
        <w:t>Le contrat de conseil en placements, en tout cas en ce qui concerne les devoirs et la responsabilité du conseiller en placements, relève du mandat au sens des art. 394 ss CO (TF 4A_168/2008 du 11 juin 2008 consid. 2.3). Le mandataire doit exécuter avec soin la mission qui lui est confiée et sauvegarder fidèlement les intérêts légitimes de son</w:t>
      </w:r>
    </w:p>
    <w:p>
      <w:r>
        <w:t>- 16 - cocontractant (art. 321a al. 1 CO, applicable par renvoi de l'art. 398 al. 1 CO) ; il est responsable envers son client de la bonne et fidèle exécution du mandat (art. 398 al. 2 CO). En cas d'inexécution ou de mauvaise exécution de son obligation de diligence, le mandataire est tenu de réparer le dommage qui en résulte, à moins qu'il ne prouve qu'aucune faute ne lui est imputable (art. 97 al. 1 CO ; ATF 128 III 22 consid. 2b; TF 4C.97/1997 du 29 octobre 1997 consid. 4a, in SJ 1998 p. 198). La responsabilité du mandataire suppose donc la réunion de quatre conditions, qui sont cumulatives: une violation d'un devoir de diligence, une faute, un préjudice et une relation de causalité (naturelle et adéquate) entre la violation fautive du devoir de diligence et le préjudice survenu (cf. ATF 133 III 121 consid. 3.1 ; ATF 132 III 379 consid. 3.1). Conformément aux règles générales de la responsabilité contractuelle et à l'art. 8 CC, il incombe au client d'apporter la preuve de la mauvaise exécution du contrat par le mandataire (TF 4C.278/1996 du 25 février 1998 consid. 2c). Il lui incombe de même de prouver la relation de causalité entre la mauvaise exécution du contrat et le préjudice subi (TF 4A_593/2015 du 13 décembre 2016 consid. 8.1). Dans le cadre du contrat de conseil en placements, les devoirs d'information, de conseil et d'avertissement de la banque ne peuvent pas être fixés de manière générale, mais dépendent du type de contrat conclu et des circonstances du cas concret, notamment des connaissances et de l'expérience du client (TF 4A_336/2014 du 18 décembre 2014 consid. 4.2 ; TF 4A_364/2013 du 5 mars 2014 consid. 4.2). Ainsi, lorsque la banque « recommande » d'acquérir un titre déterminé, elle doit connaître la situation financière de la société émettrice et ses perspectives d'avenir, ainsi que les avis exprimés par la presse économique et les agences de cotation, l'étendue des recherches à effectuer n'étant toutefois pas illimitée. L'étendue du devoir d'information de la banque dépend aussi des connaissances et du degré d'expérience du client ; si le client connaît les risques de la spéculation, la banque n'a pas de devoir d'information. Selon les cas, le conseil donné par la banque peut devoir se rapporter également à l'adéquation du placement envisagé par rapport à la situation financière personnelle du client (ATF 133 III 97 consid. 7.2 in fine) ; la banque doit</w:t>
      </w:r>
    </w:p>
    <w:p>
      <w:r>
        <w:t>- 17 - donc se renseigner sur cet aspect, et notamment s'enquérir du degré de risque que le client est prêt à assumer (TF 4A_444/2012 du 10 décembre 2012 consid. 3.2, in SJ 2013 I 512). La banque peut aussi devoir avertir le client que sa stratégie n'est pas adéquate, devoir qui ne doit toutefois pas être admis trop facilement (TF 4A_54/2017 du 29 janvier 2018 consid. 5.1.3). En règle générale, le client supporte seul le risque découlant de sa décision, sachant qu'il ne peut pas se fier sûrement à un conseil concernant un événement futur incertain (ATF 119 II 333 consid. 7a). La banque n'assume pas de responsabilité pour le (mauvais) conseil donné, à moins qu'au moment où elle s'est exprimée, son conseil – objectivement faux – n'ait été manifestement déraisonnable (ATF 119 II 333 consid. 7a ; TF 4A_54/2017 du 29 janvier 2018 consid. 5.1.3).</w:t>
      </w:r>
    </w:p>
    <w:p>
      <w:r>
        <w:rPr>
          <w:b/>
        </w:rPr>
        <w:t>E. 7.3</w:t>
      </w:r>
    </w:p>
    <w:p>
      <w:r>
        <w:t>En l’espèce, l'appelant B.K.________ est un homme averti et expérimenté en affaires. Une relation de confiance s'est installée entre l'intimé – qui s'était occupé de la gestion du patrimoine de l'appelant lorsqu'il était employé du [...] à Vevey, puis lorsqu'il travaillait pour [...] SA et finalement chez [...] – et l'appelant au fil des années. A partir de mai 2004, l'intimé a parlé à l'appelant d'I.________ et de son projet de développer ses activités en Suisse dans le domaine de la bijouterie. Ce projet nécessitait la participation d'investisseurs sous forme de prêts. L'intimé avait la certitude que les affaires d'I.________ se développeraient harmonieusement. B.K.________ a autorisé l'intimé à effectuer un investissement pour un montant de 150'000 fr., selon contrat de prêt du 7 mai 2004, portant un intérêt à 8% l’an, soit plus élevé que celui du marché à l'époque. B.K.________ a reconnu que cet investissement, comme tous les investissements bancaires, était toujours aux risques et périls du client. Entre le 1er novembre 2004 et le 10 novembre 2008, I.________ a versé 38'825 fr. à titre d'intérêts. Un nouveau prêt de 100'000 fr. avec intérêts à 8% l’an, supérieur aux intérêts du marché, a été accordé par B.K.________ à I.________ le 27 janvier 2006. Là aussi, B.K.________ a reconnu que cet investissement, comme tous les investissements bancaires, était à ses risques et périls. Le 15 décembre 2006, I.________ a remboursé la somme</w:t>
      </w:r>
    </w:p>
    <w:p>
      <w:r>
        <w:t>- 18 - de 7'067 fr. à B.K.________ pour ce prêt. Un autre prêt de 100'000 fr. est intervenu le 11 septembre 2007 et a été remboursé le 30 décembre 2007. Enfin, un prêt de 100'000 fr. est intervenu le 30 décembre 2007, avec intérêts à 8% l’an, supérieur aux intérêts du marché. Ce prêt n'a pas été remboursé, ni les intérêts prévus versés. Le caractère spéculatif de l'investissement ne pouvait en l'espèce pas échapper à l'appelant, homme d'affaires avisé. Celui-ci a visé un intérêt de 8%, supérieur aux intérêts du marché, dans une opération qu'il qualifie lui-même de « totalement déjantée ». Il n'ignorait pas que l'emprunteur était une personne physique à l'étranger et que le prêt était sans garantie, de sorte que son remboursement était d'emblée aléatoire. Il doit assumer la responsabilité d'une opération spéculative, pour laquelle il avait signé des déclarations confirmant que ces investissements, comme tous les investissements bancaires, étaient toujours aux risques et périls du client. Pour le surplus, si les parties entretenaient une relation de confiance et que l'intimé a parlé à l'appelant d'I.________ et de son projet de développer ses activités en Suisse dans le domaine de la bijouterie, il n'est pas établi que l'intimé ait incité ou exercé des pressions envers l'appelant pour que ce dernier investisse dans les prêts litigieux. Compte tenu des compétences d'homme d'affaires de l'appelant et du caractère spéculatif de l'opération, clairement reconnaissable pour l'appelant, l'intimé n'avait pas à le dissuader d'y procéder. Dès lors, en ne dissuadant pas l'appelant B.K.________ de procéder aux prêts litigieux, l'intimé n’a pas violé ses devoirs contractuels. En revanche, on doit retenir qu'en n'indiquant pas à l'appelant qu'il détenait des parts dans la société [...] Sàrl et qu'il était lui-même créancier de l'intimé, circonstances susceptibles de faire apparaît un conflit d'intérêt, l'intimé a violé son devoir de diligence, ce qu'ont d’ailleurs admis les premiers juges.</w:t>
      </w:r>
    </w:p>
    <w:p>
      <w:r>
        <w:rPr>
          <w:b/>
        </w:rPr>
        <w:t>E. 8</w:t>
      </w:r>
    </w:p>
    <w:p>
      <w:r>
        <w:t>- 19 -</w:t>
      </w:r>
    </w:p>
    <w:p>
      <w:r>
        <w:rPr>
          <w:b/>
        </w:rPr>
        <w:t>E. 8.1</w:t>
      </w:r>
    </w:p>
    <w:p>
      <w:r>
        <w:t>S’agissant du dommage subi par B.K.________, les appelants reprochent aux premiers juges d’avoir considéré que celui-ci avait échoué à établir comment il aurait investi les montants prêtés s’il avait été correctement informé par l’intimé. Ils font valoir que la jurisprudence citée par les premiers juges serait hors de propos, car elle concernerait la violation du devoir d'informer dans le cadre d'un contrat de gestion de fortune, soit un cas où si l'investissement litigieux n'avait pas été effectué, l'argent perdu aurait de toute manière été investi ailleurs, au contraire du contrat de conseil en placements qui porterait sur un ou des conseils d'investissements précis. Les appelants ne reprochent pas à l'intimé d'avoir violé son devoir d'information, mais d'avoir prodigué à B.K.________ des conseils d'investissement inadéquats, car totalement déraisonnables, alors qu'il était confronté à un conflit d'intérêts manifeste. Ils soutiennent que B.K.________ aurait dès lors le droit d'être mis dans la situation qui aurait été la sienne sans le mauvais conseil, ce qui équivaudrait au montant investi plus intérêts compensatoires à 5% l'an.</w:t>
      </w:r>
    </w:p>
    <w:p>
      <w:r>
        <w:rPr>
          <w:b/>
        </w:rPr>
        <w:t>E. 8.2</w:t>
      </w:r>
    </w:p>
    <w:p>
      <w:r>
        <w:t>En matière de conseil en placement, le pouvoir décisionnel de procéder à un placement appartient au client. Le Tribunal fédéral en a déduit que pour établir son dommage, il incombe au client d’alléguer et d’établir concrètement quel placement il aurait effectué s’il avait été correctement informé par son conseiller en placement, faute de quoi il est impossible pour la partie adverse de contester la quotité du dommage allégué (TF 4A_449/2018 du 25 mars 2019 consid. 6.2.2 ; TF 4A_539/2014 du 7 mai 2015 consid. 3.5 et 3.7).</w:t>
      </w:r>
    </w:p>
    <w:p>
      <w:r>
        <w:rPr>
          <w:b/>
        </w:rPr>
        <w:t>E. 8.3</w:t>
      </w:r>
    </w:p>
    <w:p>
      <w:r>
        <w:t>Les premiers juges, se référant à l’arrêt 4A_539/2014 du 7 mai 2015 du Tribunal fédéral, ont relevé que l’appelant B.K.________ n'avait pas allégué ni prouvé comment il aurait investi les montants réclamés s'il avait été correctement informé, de sorte qu'aucun dommage ne pouvait être retenu. Ils ont ajouté qu'au vu des relations de confiance entre B.K.________ et l'intimé, la connaissance par celui-là de l'association de</w:t>
      </w:r>
    </w:p>
    <w:p>
      <w:r>
        <w:t>- 20 - celui-ci dans l'entreprise [...] Sàrl aurait même pu avoir comme effet de conforter B.K.________ dans ses choix. Quoi qu’en disent les appelants, le cas jugé par le Tribunal fédéral concernait concernait bien un contrat de conseil en placements (« Anlageberatungsvertrag », cf. consid. 3 de l'arrêt), de sorte que leur moyen tombe à faux. Au demeurant, le client qui requiert des conseils en placements cherche à investir, de sorte qu'il est également justifié dans ce cas d'exiger de lui qu'il allègue la manière dont il aurait investi, ou éventuellement renoncé à investir, s'il avait été correctement informé. Quant à l’auteur cité par les appelants pour avancer que B.K.________ aurait droit au montant investi plus intérêts compensatoires à 5 %, celui-ci se borne à écrire que le client recevra un intérêt au montant de 5% sur sa créance en capital équivalent au montant qu'il a perdu (Lombardini, Droit bancaire suisse, 2e éd., 2008, n. 38 p. 799). Dès lors qu'il n'est pas établi que l'intimé ait incité l'appelant à investir dans les prêts litigieux (cf. consid. 7.3 supra), c'est bien sous l'angle d'un éventuel défaut d'information que la cause doit être examinée. Au demeurant, dans l'arrêt TF 4A_539/2014 du 7 mai 2015 consid. 3.5 et 3.7 précité, le client reprochait à la banque de l'avoir mal conseillé en lui proposant d'acquérir des parts de fonds de placement, sans le rendre attentif aux risques et en le laissant croire qu'il s'agissait d'un placement sûr. Il soutenait que, s'il avait été correctement informé, il aurait investi en dépôts, de sorte que son préjudice équivalait à tout le moins au capital investi. Le Tribunal fédéral, comme déjà dit, a considéré qu'il incombait au client d'alléguer et d'établir comment il aurait investi les montants s'il avait été correctement informé. Le présent cas est semblable et il incombait à l'appelant d'alléguer et de prouver comment il aurait investi les montants réclamés s'il avait été correctement informé, le préjudice, respectivement le montant perdu, n’étant pas ipso facto équivalent au capital investi. Ceci vaut d’autant plus que l’appelant B.K.________ recherchait manifestement un rendement supérieur à celui du marché, ce qui impliquait des risques bien plus élevés qu’un simple dépôt.</w:t>
      </w:r>
    </w:p>
    <w:p>
      <w:r>
        <w:t>- 21 - Or, d'une part, l'appelant B.K.________ n'a rien allégué, et encore moins établi, sur les investissements auxquels il aurait procédé s'il avait été informé plus précisément sur les risques de l'opération – à supposer même qu'on doive voir une violation contractuelle dans cet élément, ce qui n'est pas le cas, comme on l’a vu au considérant 7.3 supra. Par ailleurs, comme les premiers juges l'ont constaté sans que cela prête le flanc à la critique, l'appelant n'a pas démontré qu'il aurait renoncé à octroyer des prêts s'il avait appris que l'intimé détenait des parts de l'entreprise [...] Sàrl et qu'il était lui-même créancier d'I.________. On pourrait au contraire estimer, avec les premiers juges, que cette connaissance aurait pu avoir pour effet de conforter l'appelant dans ses choix. Cela étant, c'est à juste titre que les premiers juges ont considéré que le préjudice n'était pas établi, pas plus que le lien de causalité, même au degré de la vraisemblance prépondérante (ATF 132 III 715 consid. 3.2). Pour les mêmes raisons, mutatis mutandis, un acte illicite en relation de causalité naturelle et adéquate avec un préjudice ne peut pas davantage être retenu.</w:t>
      </w:r>
    </w:p>
    <w:p>
      <w:r>
        <w:rPr>
          <w:b/>
        </w:rPr>
        <w:t>E. 9</w:t>
      </w:r>
    </w:p>
    <w:p>
      <w:r>
        <w:t>Il découle des considérants qui précèdent que l’appel doit être rejeté et le jugement entrepris confirmé. Les frais judiciaires de deuxième instance, arrêtés à 4'850 fr. (art. 62 al. 1 TFJC [tarif des frais judiciaires civils du 28 septembre 2010 ; BLV 270.11.5]), doivent mis à la charge des appelants, à parts égales et solidairement entre eux (art. 106 al. 1 et 3 CPC). Ceux-ci verseront à l’intimée la somme de 3'000 fr. à titre de dépens de deuxième instance (art. 7 et 20 al. 2 TDC [tarif des dépens en matière civile du 23 novembre 2010 ; BLV 270.11.6]).</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