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PT14.025736 vom 19. Januar 2026</w:t>
      </w:r>
    </w:p>
    <w:p>
      <w:r>
        <w:t>VD Tribunal cantonal, 2026-01-19, FR</w:t>
      </w:r>
    </w:p>
    <w:p>
      <w:r>
        <w:rPr>
          <w:b/>
        </w:rPr>
        <w:t xml:space="preserve">Quelle: </w:t>
      </w:r>
      <w:r>
        <w:t>https://mcp.opencaselaw.ch/entscheid/vd_gerichte_PT14.025736</w:t>
      </w:r>
    </w:p>
    <w:p>
      <w:r>
        <w:t>FR: VD_GERICHTE PT14.025736 du 19 janvier 2026</w:t>
      </w:r>
    </w:p>
    <w:p>
      <w:r>
        <w:t>IT: VD_GERICHTE PT14.025736 del 19 gennaio 2026</w:t>
      </w:r>
    </w:p>
    <w:p>
      <w:pPr>
        <w:pStyle w:val="Heading2"/>
      </w:pPr>
      <w:r>
        <w:t>Erwägungen</w:t>
      </w:r>
    </w:p>
    <w:p>
      <w:r>
        <w:rPr>
          <w:b/>
        </w:rPr>
        <w:t>E. 2</w:t>
      </w:r>
    </w:p>
    <w:p>
      <w:r>
        <w:t>CO UR D’APPEL CIVI L E _____________________________ Arrêt du 19 janvier 2026 Composition : Mme CRITTIN DAYEN, présidente M. De Montvallon et M. Parrone, juges Greffier : M. Clerc ***** Art. 107 al. 2 LTF Statuant à la suite de l'arrêt rendu le 17 septembre 2025 par la Ire Cour de droit civil du Tribunal fédéral sur l'appel interjeté par B.________, à Q***, et C.________ SA, contre le jugement rendu le 23 février 2022 par la Chambre patrimoniale cantonale dans la cause divisant les appelants, la Cour d’appel civile du Tribunal cantonal considère : 19J085</w:t>
      </w:r>
    </w:p>
    <w:p>
      <w:r>
        <w:t>- 2 - En f ait : A. a) Par jugement du 23 février 2022, dont la motivation a été adressée le 17 juin 2022 aux parties, la Chambre patrimoniale cantonale (ci-après : les premiers juges ou les juges de première instance) a statué comme il suit : « I. La défenderesse C.________ SA est condamnée à réparer, dans un délai d’un mois dès jugement définitif et exécutoire, les défauts affectant l’appartement B12 du demandeur B.________, R*** à savoir : 1) réparer les murs extérieurs en ce sens que la défenderesse doit procéder à la dépose totale du revêtement actuel et à la pose d’un nouveau revêtement avec carreaux de grès collés ; 2) réparer les portes des armoires murales de la chambre à coucher et équiper l’appartement du demandeur d’un dispositif assurant un renouvellement d’air constant ; 3) réparer les plafonds de la salle de bain ; 4) réparer le mécanisme d’ouverture de la porte du garage en mettant en place un dispositif de blocage automatique (sécurité) en pied de porte et une protection latérale contre le cisaillement en cas d’obstacle à la fermeture ou pour le moins une cellule de sécurité signalant la présence d’un objet ou d’une personne sous la porte au moment de la fermeture ; 5) réparer la porte du jardin en mettant en place une roulette d’appui sur le sol à l’extrémité inférieure du portail. II. Si les travaux de réparation mentionnés sous chiffre I. ci-dessus ne sont pas exécutés par la défenderesse dans le délai imparti sous chiffre I. ci-dessus, le demandeur est autorisé à les faire exécuter par un tiers aux frais et aux risques de la défenderesse ; III. Si les travaux de réparation mentionnés sous chiffre I. ci-dessus ne sont pas exécutés par la défenderesse dans le délai imparti sous chiffre I. ci-dessus, la défenderesse devra déposer au greffe du tribunal un montant de 200’000 fr. (deux cent mille francs) à titre d’avance pour les frais de la réparation ; IV. La défenderesse doit payer au demandeur la somme de 168'526 fr. (cent soixante-huit mille cinq cent vingt-six francs) avec intérêts à</w:t>
      </w:r>
    </w:p>
    <w:p>
      <w:r>
        <w:rPr>
          <w:b/>
        </w:rPr>
        <w:t>E. 5</w:t>
      </w:r>
    </w:p>
    <w:p>
      <w:r>
        <w:t>juillet 2019 consid. 5.1.1). En règle générale, la partie succombante (art. 106 al. 1 CPC) doit verser à la partie victorieuse tous les frais nécessaires causés par le litige (art. 37 al. 2 CDPJ [Code de droit privé judiciaire vaudois du 12 janvier 2010 ; BLV 211. 02]). 1.4 Seule la question des frais et dépens de première et de deuxième instance doit être examinée par la Cour de céans. Les parties ont été invitées à se déterminer sur ce point. 1.4.1 En l’espèce, ensuite de l’arrêt du Tribunal fédéral, l’appelante se voit en définitive condamnée en substance à réparer une liste de malfaçons affectant l’appartement de B.________, y compris à poser une installation de chauffage permettant une calculation thermique au standard 19J085</w:t>
      </w:r>
    </w:p>
    <w:p>
      <w:r>
        <w:t>- 11 - Minergie – dont la valeur a été estimée à 50'000 fr. –, à lui payer la somme de 165'000 fr., sous déduction de la somme de 18'844 fr.76, et, à défaut de réparations, à déposer au greffe du tribunal un montant de 200'000 francs. 1.4.2 Dans sa demande du 19 juin 2014, B.________ avait conclu à la réparation de plusieurs malfaçons ou, à défaut, au dépôt d’un montant de 200'000 fr. ainsi qu’au paiement d’une somme de 500'000 fr., soit une valeur litigieuse de 700'000 francs. Dans sa réponse du 3 octobre 2014, C.________ SA avait conclu reconventionnellement en substance au paiement par l’appelant d’un montant de 278'844 fr. 98. En première instance, B.________ obtient gain de cause sur un montant de 415'000 fr. (soit 50'000 fr. pour l’installation du chauffage, 165'000 fr. de créance contre C.________ SA et 200'000 fr. de dépôt en cas d’inexécution) pour une valeur litigieuse totale de 700'000 fr., ce qui représente environ 60% de ses prétentions. Pour sa part, C.________ SA ne perçoit que 18'844 fr. 76 sur les 278'844 fr. 98 réclamés, si bien que B.________ obtient gain de cause sur environ 94% des prétentions reconventionnelles (100 – [{18'844 fr. 76 : 278'844 fr. 98} x 100]). On peut ainsi suivre le raisonnement de B.________ selon lequel la clé de répartition des frais et dépens de première instance doit être de 1/5 – 4/5. En conséquence, les frais judiciaires de première instance, arrêtés à 71'672 fr., doivent être mis à la charge de B.________ par 14'334 fr. 40 et à la charge de C.________ SA par 57'337 fr. 60. Les dépens de première instance, estimés par les premiers juges à 38'500 fr. (soit 110 heures au tarif horaire de 350 fr.), doivent être répartis dans la même mesure, de sorte qu’après compensation, C.________ SA doit verser à B.________ la somme de 23'100 fr. (30'800 fr. – 7'700 fr.). 19J085</w:t>
      </w:r>
    </w:p>
    <w:p>
      <w:r>
        <w:t>- 12 - Elle devra en outre lui verser la somme de 34'141 fr. 60 à titre de remboursement de son avance de frais de première instance. 1.4.3 En procédure d’appel, B.________ a conclu à ce que C.________ SA soit condamnée à poser une installation de chauffage permettant une calculation thermique au standard Minergie, ce qui représentait une valeur litigieuse de 50'000 francs. C.________ SA concluait quant à elle en substance à la suppression des chiffres II, III, VI et VII du dispositif du jugement entrepris et au paiement par B.________ d’un montant de 278'844 fr. 98, ce qui représentait une valeur litigieuse totale de plus de 600'000 francs. B.________ obtient intégralement gain de cause sur sa conclusion. En revanche, l’appel de C.________ SA n’est que très partiellement admis dans la mesure où le montant qu’elle doit verser à l’appelant est passé de 168'526 fr. (selon jugement du 23 février 2022) à 165'000 fr. (selon arrêt du Tribunal fédéral du 17 septembre 2025). Compte tenu de ce qui précède, on peut considérer que C.________ SA a intégralement succombé. Les frais judiciaires de deuxième instance, arrêtés à 8'701 fr., doivent être intégralement mis à la charge de C.________ SA. C.________ SA remboursera à B.________ l’avance des frais judiciaires de 1'500 fr. que celui- ci a versée pour la procédure d’appel. Compte tenu de l’ampleur, de la difficulté de la cause et de la valeur litigieuse, les dépens de deuxième instance seront arrêtés à 15'000 fr. (art. 7 al. 1 TDC). C.________ SA ayant succombé, elle versera à B.________ ce montant à titre de dépens de deuxième instance.</w:t>
      </w:r>
    </w:p>
    <w:p>
      <w:r>
        <w:rPr>
          <w:b/>
        </w:rPr>
        <w:t>E. 5.2</w:t>
      </w:r>
    </w:p>
    <w:p>
      <w:r>
        <w:t>; TF 5A_978/2022 du 1er juin 2023 consid. 2.1 et les références citées). 19J085</w:t>
      </w:r>
    </w:p>
    <w:p>
      <w:r>
        <w:t>- 10 - 1.2 En cas de renvoi du Tribunal fédéral, la procédure se poursuit dans l'état dans lequel elle se trouvait avant la précédente décision. Les écritures déposées jusqu'alors demeurent valables (TF 4A_447/2018 du 20 mars 2019 consid. 4.3.1 ; TF 5A_101/2017 du 14 décembre 2017 consid. 4.3). 1.3 Les frais – qui comprennent les frais judiciaires et les dépens (art. 95 al. 1 CPC) – sont fixés et répartis d'office (art. 105 CPC), selon le tarif (art. 96 CPC) des dépens en matière civile (tarif des dépens en matière civile du 23 novembre 2010 ; BLV 270.11.6 ; ci-après : TDC). A teneur de l'art. 106 CPC, les frais sont mis à la charge de la partie succombante (al. 1). Lorsqu'aucune des parties n'obtient entièrement gain de cause, les frais sont répartis selon le sort de la cause (al. 2).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 voir également TF 4A_557/2021 du 7 juin 2022 consid. 7.1 ; TF 5A_140/2019 du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