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PT14.015722 vom 14. Dezember 2015</w:t>
      </w:r>
    </w:p>
    <w:p>
      <w:r>
        <w:t>VD Tribunal cantonal, 2015-12-14, FR</w:t>
      </w:r>
    </w:p>
    <w:p>
      <w:r>
        <w:rPr>
          <w:b/>
        </w:rPr>
        <w:t xml:space="preserve">Quelle: </w:t>
      </w:r>
      <w:r>
        <w:t>https://mcp.opencaselaw.ch/entscheid/vd_gerichte_PT14.015722</w:t>
      </w:r>
    </w:p>
    <w:p>
      <w:r>
        <w:t>FR: VD_GERICHTE PT14.015722 du 14 décembre 2015</w:t>
      </w:r>
    </w:p>
    <w:p>
      <w:r>
        <w:t>IT: VD_GERICHTE PT14.015722 del 14 dicembre 2015</w:t>
      </w:r>
    </w:p>
    <w:p>
      <w:pPr>
        <w:pStyle w:val="Heading2"/>
      </w:pPr>
      <w:r>
        <w:t>Erwägungen</w:t>
      </w:r>
    </w:p>
    <w:p>
      <w:r>
        <w:rPr>
          <w:b/>
        </w:rPr>
        <w:t>E. 10</w:t>
      </w:r>
    </w:p>
    <w:p>
      <w:r>
        <w:t>Le 18 septembre 2014, la défenderesse a déposé un mémoire de réponse, concluant au rejet de la demande du 10 avril 2014.</w:t>
      </w:r>
    </w:p>
    <w:p>
      <w:r>
        <w:t>- 7 -</w:t>
      </w:r>
    </w:p>
    <w:p>
      <w:r>
        <w:rPr>
          <w:b/>
        </w:rPr>
        <w:t>E. 11</w:t>
      </w:r>
    </w:p>
    <w:p>
      <w:r>
        <w:t>L’audience d’instruction et de jugement s’est tenue le 20 mai 2015, en présence du demandeur et, pour la défenderesse, de T.________, associé gérant, assistés de leurs conseils respectifs. La conciliation a été vainement tentée. Le Président a procédé à l’interrogatoire des parties ainsi qu’à l’audition des témoins D.________, X.________, R.________ et L.________. Il ressort de l’audition de D.________ que celui-ci avait déjà acheté une moto directement à B.________ et que la commande s’était bien déroulée, le véhicule lui ayant été livré. Il a par ailleurs affirmé que, le 2 mars 2013, il avait été « grandement surpris » d’apprendre que B.________ exigeait le paiement immédiat de l’intégralité du prix de la moto. Par la suite, il avait également appelé B.________ à maintes reprises, lequel lui affirmait à chaque fois que la livraison était retardée. Le témoin a par ailleurs relevé qu’en date du 9 mars 2013 le demandeur lui avait remboursé le montant de 28'140 fr. avancé pour l’achat de la moto. Employée de commerce auprès de la défenderesse en charge du secrétariat, de la comptabilité et de l’accueil des clients, le témoin X.________ a confirmé que le demandeur s’était rendu à une reprise dans les locaux de la défenderesse pour demander des nouvelles de sa commande. A cette occasion, elle avait recherché dans le système informatique la trace d’une éventuelle commande au nom du demandeur mais n’avait rien trouvé. Elle avait alors appelé la direction de la défenderesse pour l’informer qu’un client réclamait la livraison de sa moto mais n’apparaissait pas dans le système informatique. Plus tard, alors qu’elle disposait d’une copie du contrat signé par le demandeur, produite en procédure, le témoin avait constaté que, le 2 mars 2013, B.________ se trouvait en incapacité de travail, cette incapacité étant attestée par certificat médical délivré le 5 mars 2013 par le Dr [...], médecin à [...], et faisant état d’une incapacité de travail débutant le 25 février 2013 et susceptible de durer deux à six semaines. Le témoin a relevé que ses collègues présents le 2 mars 2013 n’avaient pas vu B.________ ce jour-là. Elle a par ailleurs indiqué qu’aucune quittance n’avait été imprimée depuis la caisse de la défenderesse relative à l’acquisition contestée de la BMW</w:t>
      </w:r>
    </w:p>
    <w:p>
      <w:r>
        <w:t>- 8 - HP4, alors que chaque encaissement faisait l’objet d’une quittance valant preuve d’encaissement. Le témoin R.________, commercial auprès de la défenderesse, a pour l’essentiel confirmé les déclarations du témoin X.________, relevant également qu’il n’existait aucune trace d’une commande ou d’un paiement du demandeur dans le système informatique et dans la comptabilité de la défenderesse. Directeur de la défenderesse, le témoin L.________ a affirmé qu’il avait été découvert par la suite que B.________ avait, à plusieurs reprises, utilisé frauduleusement le papier à en-tête de la défenderesse, faisant occasionnellement commerce de motos appartenant à la défenderesse pour son propre compte. Il a en outre relevé que, selon les règles internes de la défenderesse, les vendeurs n’avaient pas l’autorisation de se rendre ailleurs que dans les locaux de la défenderesse pour conclure des contrats ni d’encaisser de l’argent à l’extérieur de ces locaux, une quittance spécifique étant délivrée sur place et sur laquelle figurait le nom du client. A l’issue de l’audience, le Président a clos l’instruction. En d roit : 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t>- 9 - 2.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 a) L’appelant soutient que l’intimée est liée par le contrat de vente conclu le 2 mars 2013, sa responsabilité étant engagée en vertu de l’art. 101 al. 1 CO. b/aa) Selon l'art. 101 al. 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L'application de cette disposition suppose l'existence d'un rapport d'obligation préalable entre le débiteur et le créancier. Il s'agit le plus souvent d'un contrat, onéreux ou gratuit. Le rapport peut également résulter directement de la loi ou de pourparlers précontractuels, desquels l'art. 2 CC (Code civil du 10 décembre 1907 ; RS 210) fait naître des obligations réciproques (Thévenoz, Commentaire romand, 2e éd., n. 19 ad art. 101 CO). Le fait générateur de la responsabilité du débiteur est l'acte (ou l'omission) de l'auxiliaire qui contrevient à une obligation du débiteur envers le créancier. La forme de cette contravention (inexécution, demeure, « violation positive », etc.) est sans importance (Thévenoz, op. cit., n. 20 ad art. 101 CO). L'art. 101 CO impute au débiteur le dommage causé par ses auxiliaires « dans l'accomplissement de leur travail ». Il faut ainsi un</w:t>
      </w:r>
    </w:p>
    <w:p>
      <w:r>
        <w:t>- 10 - rapport de connexité entre les tâches confiées à l'auxiliaire (ou assumées par lui du consentement du débiteur), le rapport d'obligation qui lie le débiteur au créancier lésé et le dommage causé au créancier (Thévenoz, op. cit., n. 22 ad art. 101 CO). Le Tribunal fédéral et la doctrine majoritaire exigent que l'auxiliaire ait causé le dommage dans l'exécution de ses tâches et pas seulement à l'occasion de leur exécution. Il faut un rapport de causalité fonctionnel en ce sens de l'acte dommageable doit constituer en même temps une inexécution ou une exécution défectueuse de l'obligation contractée par l'employeur à l'égard du lésé (Thévenoz, op. cit., n. 23 ad art. 101 CO ; ATF 92 II 15, JdT 1966 I 526). Il convient par ailleurs de distinguer l'auxiliaire du représentant. Représentation directe (art. 32ss CO) et exécution par un auxiliaire (art. 101 CO) permettent à une personne (le tiers, le créancier) d'imputer à une autre personne (le représenté, le débiteur) les effets du comportement d'une troisième personne (le représentant, l'auxiliaire). Elles se distinguent par leurs conditions, la nature du comportement en question et leurs effets. La représentation consiste à émettre des déclarations de volonté, d'autres actes juridiques ou encore des actions analogues dans le but de produire des effets juridiques dans la sphère juridique du représenté, alors que l'auxiliaire déploie en principe une activité de fait pour le compte du débiteur dont la mauvaise exécution est source d'une responsabilité (dommages-intérêts) pour celui-ci (Thévenoz, op. cit., n. 18 ad art. 101 CO). bb) Pour qu'il y ait représentation directe, il faut que le représentant agisse au nom du représenté (art. 32 al. 1 CO). Lorsque tel est le cas, les droits et obligations dérivant de l'acte accompli passent directement au représenté dans trois cas de figure : si le représentant disposait des pouvoirs suffisants à cet effet en vertu de la loi, du droit public ou de la volonté du représenté ; si le représenté ratifie l'acte accompli en son nom (art. 38 CO) ou si le tiers de bonne foi pouvait se fier aux pouvoirs qui lui avaient été communiqués, même tacitement (art. 33 al. 3 CO ; ATF 131 III 511 consid. 3.1). Un pouvoir de représentation seulement apparent est donc opposable au représenté si le tiers avec qui</w:t>
      </w:r>
    </w:p>
    <w:p>
      <w:r>
        <w:t>- 11 - le représentant a traité pouvait inférer des circonstances que ce pouvoir existait réellement (ATF 120 II 197 consid. 2).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(ATF 120 II 197 consid. 2 b/bb ; TF 4A_313/2010 du 3 septembre 2010 consid. 3.4.2.3). Ne peut invoquer sa bonne foi le tiers qui conclut l'affaire en ne prêtant pas attention à des indices objectifs d'abus laissant entrevoir que le représentant agit contre les intérêts du représenté (ATF 131 III 511 consid. 3.2.2.). c) En l’espèce, avant d’examiner si l’intimée était susceptible d’engager sa responsabilité contractuelle en vertu de l’art. 101 al. 1 CO, il convient de déterminer si un contrat a bien été conclu entre les parties et si les actes de B.________, qui s’est présenté comme un représentant de l’intimée, lient cette dernière. Si tel n’est pas le cas, une responsabilité contractuelle du fait de l’acte de l’auxiliaire est d’emblée exclue. A cet égard, il est constant que l’intimée, qui ignorait tout de l’affaire, n’a jamais voulu être liée par le contrat et ne l’a pas ratifié. Il reste cependant encore à examiner si l’appelant peut se prévaloir de bonne foi de l’apparence d’un pouvoir de représentation au sens de la jurisprudence susmentionnée (cf. en particulier ATF 131 III 511). Si B.________ avait bien la qualité de conseiller commercial auprès de l’intimée et a ainsi pu présenter à l’appelant un contrat établi sur le papier à en-tête de l’intimée, les autres circonstances de la vente ne pouvaient que faire naître des doutes importants chez l’appelant. Comme l’a relevé le premier juge, il est pour le moins inhabituel d’acheter une moto neuve d’une marque prestigieuse et d’un prix important chez un</w:t>
      </w:r>
    </w:p>
    <w:p>
      <w:r>
        <w:t>- 12 - particulier plutôt que directement auprès de l’agence concessionnaire. Il était encore plus insolite que le prétendu représentant ait exigé le paiement immédiat du prix en espèces pour pouvoir « bloquer » la moto, ce qui a par ailleurs « grandement surpris » le témoin D.________, qui a néanmoins accepté de prêter le montant nécessaire à son ami, de sorte que la transaction a déjà pu avoir lieu le même jour. Il appartenait dans ces circonstances à l’appelant de faire preuve de prudence et de prendre à tout le moins contact directement avec l’intimée, ce qu’il n’a fait qu’en novembre 2013, soit huit mois plus tard. En concluant l’affaire de la sorte, alors que des indices objectifs d’abus laissaient entrevoir que le représentant agissait contre les intérêts du représenté, l’appelant ne peut se prévaloir de sa bonne foi. L’intimée n’est en conséquence pas liée par l’acte, ce qui prive de tout fondement la prétention de l’appelant fondée sur l’art. 101 al. 1 CO. 4. a) L’appelant fait également valoir que la responsabilité de l’intimée serait fondée sur l’art. 55 al. 1 CO. b/aa)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Pour que la responsabilité de l'employeur puisse être engagée, les conditions générales de la responsabilité doivent être réunies : la victime doit avoir subi un préjudice qui soit en relation de causalité naturelle et adéquate avec l'acte illicite de l'auxiliaire d'une part, et le défaut de diligence de l'employeur d'autre part. Cette responsabilité suppose en outre l'existence de quatre conditions spécifiques : un employeur et un auxiliaire, un acte préjudiciable de l'auxiliaire effectué dans l'accomplissement de son travail et l'incapacité de l'employeur d'apporter la preuve libératoire de sa diligence (Werro, La responsabilité civile, 2e éd., nn. 459-460 p. 137).</w:t>
      </w:r>
    </w:p>
    <w:p>
      <w:r>
        <w:t>- 13 - Pour retenir que l'auxiliaire a agi dans l'accomplissement de son travail, une simple relation de temps et de lieu entre l'accomplissement du travail et l'acte dommageable ne suffit pas. Il faut une relation directe et fonctionnelle entre l'activité pour laquelle l'employeur a eu recours aux services de l'auxiliaire et l'acte dommageable. Ce lien manque en particulier quand l'acte illicite a lieu non pas dans l'accomplissement du travail, mais à l'occasion de celui-ci seulement (Werro, op. cit., n. 475 p. 141 ; TF 4A_326/2008 du 18 décembre 2008 consid. 5.1). Cette relation fonctionnelle manque par exemple lorsqu'un employé tue un collège sur le lieu de travail à la suite d'une altercation. Il existe en revanche une relation suffisante entre l'acte dommageable et l'activité de l'auxiliaire dans le cas d'un ouvrier couvreur qui laisse tomber une tuile sur un passant lors de la réfection d'un toit (Werro, op. cit., n. 474 p. 141). Une telle relation a aussi été admise dans le cas où un pilote soustrait une caisse contenant des lingots d'or lors d'un transport, dès lors que le pilote était responsable, en sa qualité de commandant de bord, de l'acheminement des marchandises transportées (ATF 85 II 267 ; Werro, op. cit. n. 476 p. 141). La doctrine est partagée sur le point de savoir si l'employeur doit répondre, lorsqu'un employé se rend chez un client pour procéder à une réparation où il commet un vol (en ce sens : Werro, op. cit. n. 475 p. 141 ; Brehm, Berner Kommentar, 4e éd., n. 28 ad art. 55 CO ; contra : Engel, Traité des obligations en droit suisse, 2e éd, p. 536). Dans tous les cas, les auteurs qui admettent une responsabilité de principe considèrent que l'employeur peut se libérer si l'employé a eu jusqu'alors un comportement irréprochable (Werro, loc. cit. ; Brehm, loc. cit.). bb) En cas d'atteinte à des droits purement patrimoniaux, l'illicéité objective n'est réalisée que lorsque le lésé invoque la violation d'une norme qui a pour but de le protéger dans ses droits atteints par l'acte incriminé (ATF 133 III 323 consid. 5.1 et les références citées). L'illicéité peut notamment résulter de la violation d'une norme pénale qui a pour but, en sus de la répression pénale, de protéger les intérêts</w:t>
      </w:r>
    </w:p>
    <w:p>
      <w:r>
        <w:t>- 14 - patrimoniaux de ceux qui sont lésés par le crime (ATF 133 III 323 consid. 5.1). c) En l’espèce, il ressort du dossier que le cadre de travail de B.________ se trouvait dans les seuls locaux de l’intimée, dès lors que ce n’est qu’en ces lieux qu’il était habilité à conclure des ventes ou à encaisser l’argent des clients. Or, le contrat a été conclu chez un particulier, qui plus est un samedi, alors que l’employé était au demeurant en incapacité de travail. B.________ a ainsi agi complètement à l’insu de son employeur, qui n’était aucunement au courant des contacts pris entre son employé et l’appelant. La présente espèce se distingue ainsi du vol commis par un employé expressément envoyé par son employeur pour effectuer une réparation, cas dans lequel l’acte illicite intervient à l’occasion de l’exécution du contrat passé entre parties. Compte tenu de ce qui précède, on doit retenir que les agissements de B.________ ont été commis en dehors de l’accomplissement de son travail. Par surabondance, on constate que l’intimée n’a découvert qu’ultérieurement l’utilisation répétée de son papier à en-tête par B.________ dans le cadre de ventes de motos réalisées pour son propre compte, si bien que, lors de la conclusion du contrat litigieux, le comportement de B.________ pouvait être considéré comme irréprochable et que l’employeur devrait en tout état de cause être libéré de sa responsabilité. Il y a enfin lieu de relever que le dommage causé à l’appelant est d’ordre purement patrimonial et que celui-ci ne fait valoir la violation d’aucune norme protectrice, ce qui lui incombait pourtant de faire. Contrairement à l’intimée, il n’a d’ailleurs pas déposé de plainte pénale, notamment pour escroquerie, de sorte que l’on ne saurait considérer que les éléments constitutifs de cette infraction seraient réalisés. 5. Il s’ensuit que l’appel doit être rejeté selon le mode procédural de l’art. 312 al. 1 CPC et le jugement entrepris confirmé.</w:t>
      </w:r>
    </w:p>
    <w:p>
      <w:r>
        <w:t>- 15 - Les frais judiciaires de deuxième instance, arrêtés à 896 fr. (art. 62 al. 1 TFJC [tarif des frais judiciaires civils du 28 septembre 2010; RSV 270.11.5]), seront mis à la charge de l’appelant,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