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PT13.049138 vom 2. Februar 2016</w:t>
      </w:r>
    </w:p>
    <w:p>
      <w:r>
        <w:t>VD Tribunal cantonal, 2016-02-02, FR</w:t>
      </w:r>
    </w:p>
    <w:p>
      <w:r>
        <w:rPr>
          <w:b/>
        </w:rPr>
        <w:t xml:space="preserve">Quelle: </w:t>
      </w:r>
      <w:r>
        <w:t>https://mcp.opencaselaw.ch/entscheid/vd_gerichte_PT13.049138</w:t>
      </w:r>
    </w:p>
    <w:p>
      <w:r>
        <w:t>FR: VD_GERICHTE PT13.049138 du 2 février 2016</w:t>
      </w:r>
    </w:p>
    <w:p>
      <w:r>
        <w:t>IT: VD_GERICHTE PT13.049138 del 2 febbraio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conclusion, l’appel doit être rejeté et le jugement querellé confirmé. Les frais judiciaires de deuxième instance, arrêtés à 1'595 fr. (art. 62 al. 1 TFJC [tarif des frais judiciaires civils du 28 septembre 2010 ; RS 270.11.5]), seront mis à la charge des appelants qui succombent (art. 106 al. 1 CPC), solidairement entre eux (art. 106 al. 3 CPC).</w:t>
      </w:r>
    </w:p>
    <w:p>
      <w:r>
        <w:t>- 13 - Les appelants verseront à l’intimé des dépens deuxième instance, fixés d’office (art. 105 al. 1 CPC), conformément au tarif des dépens en matière civile du 23 novembre 2010 (TDC ; RSV 270.11.6). En règle générale, la partie qui succombe est tenue de rembourser à la partie qui a obtenu gain de cause tous les frais nécessaires causés par le litige (art. 3 al. 1 TDC). Compte tenu des difficultés de la cause, de l’ampleur du travail et du temps consacré par l’avocat (art. 3 al. 2 TDC), les dépens peuvent en l’espèce être fixés à 1'500 fr. (art. 7 TDC)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