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PT13.037295 vom 27. Februar 2023</w:t>
      </w:r>
    </w:p>
    <w:p>
      <w:r>
        <w:t>VD Tribunal cantonal, 2023-02-27, FR</w:t>
      </w:r>
    </w:p>
    <w:p>
      <w:r>
        <w:rPr>
          <w:b/>
        </w:rPr>
        <w:t xml:space="preserve">Quelle: </w:t>
      </w:r>
      <w:r>
        <w:t>https://mcp.opencaselaw.ch/entscheid/vd_gerichte_PT13.037295</w:t>
      </w:r>
    </w:p>
    <w:p>
      <w:r>
        <w:t>FR: VD_GERICHTE PT13.037295 du 27 février 2023</w:t>
      </w:r>
    </w:p>
    <w:p>
      <w:r>
        <w:t>IT: VD_GERICHTE PT13.037295 del 27 febbraio 2023</w:t>
      </w:r>
    </w:p>
    <w:p>
      <w:pPr>
        <w:pStyle w:val="Heading2"/>
      </w:pPr>
      <w:r>
        <w:t>Erwägungen</w:t>
      </w:r>
    </w:p>
    <w:p>
      <w:r>
        <w:rPr>
          <w:b/>
        </w:rPr>
        <w:t>E. 2</w:t>
      </w:r>
    </w:p>
    <w:p>
      <w:r>
        <w:t>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Il faut se garder d'interpréter trop largement l'art. 156 CO ; en effet, en convenant d'une condition, les parties ont pris en compte l'existence d'un risque qu'elles doivent assumer (Pichonnaz, op. cit., nn. 12-15 ad art. 156 CO). 4.5.3 Au regard des développements qui précèdent (cf. consid. 3.3 supra), il a été retenu, à l’instar des premiers juges, que le contrat brésilien n’avait jamais pu être exécuté par R.________, sans qu’une faute ne puisse lui être reprochée et sans que le contraire ne soit démontré dans le cadre du présent appel. En conséquence, il ne peut être considéré que R.________ aurait agi au mépris des règles de la bonne foi et, par voie de conséquence, aucune violation de l’art. 156 CO ne peut être retenue.</w:t>
      </w:r>
    </w:p>
    <w:p>
      <w:r>
        <w:t>- 33 - Le grief doit être rejeté.</w:t>
      </w:r>
    </w:p>
    <w:p>
      <w:r>
        <w:rPr>
          <w:b/>
        </w:rPr>
        <w:t>E. 5</w:t>
      </w:r>
    </w:p>
    <w:p>
      <w:r>
        <w:t>Enfin, on remarque que les conclusions tendant à la constatation du fait que les appelants ne sont pas débiteurs des sommes d’argent en lien avec les loyers des locaux de la société ne font l’objet d’aucune motivation. Conformément aux principes qui précèdent (cf. consid. 2.2 supra), ces conclusions doivent donc être déclarées irrecevables.</w:t>
      </w:r>
    </w:p>
    <w:p>
      <w:r>
        <w:rPr>
          <w:b/>
        </w:rPr>
        <w:t>E. 6.1</w:t>
      </w:r>
    </w:p>
    <w:p>
      <w:r>
        <w:t>En définitive, l'appel, mal fondé, doit être rejeté dans la mesure où il est recevable (art. 312 al. 1 CPC) et le jugement attaqué confirmé.</w:t>
      </w:r>
    </w:p>
    <w:p>
      <w:r>
        <w:rPr>
          <w:b/>
        </w:rPr>
        <w:t>E. 6.2</w:t>
      </w:r>
    </w:p>
    <w:p>
      <w:r>
        <w:t>Au vu de l’issue du litige, les frais judiciaires de deuxième instance, arrêtés à 5'000 fr. (art. 62 al. 1 et 2 TFJC [tarif des frais judiciaires civils du 28 septembre 2010 ; BLV 270.11.5]), sont mis à la charge des appelants qui succombent, solidairement entre eux (art. 106 al. 1 et 2 CPC).</w:t>
      </w:r>
    </w:p>
    <w:p>
      <w:r>
        <w:rPr>
          <w:b/>
        </w:rPr>
        <w:t>E. 6.3</w:t>
      </w:r>
    </w:p>
    <w:p>
      <w:r>
        <w:t>Il n'y a pas lieu d'allouer des dépens de deuxième instance, les intimées n'ayant pas été invitées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