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PT13.022385 vom 10. April 2014</w:t>
      </w:r>
    </w:p>
    <w:p>
      <w:r>
        <w:t>VD Tribunal cantonal, 2014-04-10, FR</w:t>
      </w:r>
    </w:p>
    <w:p>
      <w:r>
        <w:rPr>
          <w:b/>
        </w:rPr>
        <w:t xml:space="preserve">Quelle: </w:t>
      </w:r>
      <w:r>
        <w:t>https://mcp.opencaselaw.ch/entscheid/vd_gerichte_PT13.022385</w:t>
      </w:r>
    </w:p>
    <w:p>
      <w:r>
        <w:t>FR: VD_GERICHTE PT13.022385 du 10 avril 2014</w:t>
      </w:r>
    </w:p>
    <w:p>
      <w:r>
        <w:t>IT: VD_GERICHTE PT13.022385 del 10 aprile 2014</w:t>
      </w:r>
    </w:p>
    <w:p>
      <w:pPr>
        <w:pStyle w:val="Heading2"/>
      </w:pPr>
      <w:r>
        <w:t>Erwägungen</w:t>
      </w:r>
    </w:p>
    <w:p>
      <w:r>
        <w:rPr>
          <w:b/>
        </w:rPr>
        <w:t>E. 1</w:t>
      </w:r>
    </w:p>
    <w:p>
      <w:r>
        <w:t>Par ordonnance de preuves du 4 mars 2014, le Juge délégué de la Chambre patrimoniale cantonale a notamment nommé André Dubey en qualité d’expert actuaire et l’a chargé de se déterminer sur les allégués nos 155 à 157, 160, 161, 163 et 166 (V) et dit que les frais d’expertise actuarielle seraient avancés par les demandeurs A.H.________, B.H.________, C.H.________ et D.H.________ (VI). Etat de Vaud a recouru contre cette ordonnance le 17 mars 2014 en concluant, avec dépens, principalement à la réforme de ses chiffres V et VI en ce sens que la requête des intimés A.H.________, B.H.________, C.H.________ et D.H.________ tendant à la mise en œuvre d’une expertise fiduciaire est rejetée et, subsidiairement, à son annulation.</w:t>
      </w:r>
    </w:p>
    <w:p>
      <w:r>
        <w:rPr>
          <w:b/>
        </w:rPr>
        <w:t>E. 2</w:t>
      </w:r>
    </w:p>
    <w:p>
      <w:r>
        <w:t>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CPC Commenté, 2011, n. 14 ad art. 319, p. 1272). La recevabilité du recours contre un tel acte est donc subordonnée à l'existence d'un préjudice difficilement réparable au regard de l'art. 319 let. b ch. 2 CPC (JT 2011 III 86 c. 3).</w:t>
      </w:r>
    </w:p>
    <w:p>
      <w:r>
        <w:t>- 3 -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Selon la doctrine et la jurisprudence de la cour de céans les ordonnances de preuves et le refus d'ordonner une preuve doivent en règle générale être contestés dans le cadre du recours ou de l'appel contre la décision finale (Reich, Schweizerische Zivilprozessordnung, Baker/Mc Kenzie Hrsg, 2010, n. 8 ad art. 319 CPC, p. 1176; Brunner, Kurzkommentar ZPO, Oberhammer Hrsg, 2e éd., 2014, nn. 12 et 13 ad art. 319 CPC, p. 1374 ; CREC 3 septembre 2013/274). La condition du préjudice difficilement réparable est réalisée dans des circonstances particulières, par exemple dans le cas où l'ordonnance porterait sur l'audition de vingt-cinq témoins, dont une dizaine par voie de commission rogatoire en vue d'instruire sur un fait</w:t>
      </w:r>
    </w:p>
    <w:p>
      <w:r>
        <w:t>- 4 - mineur et, de surcroît dans un pays connu pour sa lenteur en matière d'entraide, ou en cas d'admission d'une preuve contraire à la loi (Jeandin, op. cit., n. 23 ad art. 319 CPC), ou encore dans le cas de la mise en œuvre d'une expertise qui pourrait causer un augmentation importante des frais de la procédure (Blickenstorfer, Schweizerische Zivilprozessordnung, Brunner/Gasser/ Schwander Hrsg, 2011, n. 39 ad art. 319 CPC, p. 1815; CREC 27 juin 2012/234). Le recourant soutient que l’expertise en cause est contraire à la loi, dès lors qu’elle porte sur des points de droit. Toutefois, la limite entre le fait et le droit est souvent difficile à tracer. Il est en effet rare que les faits puissent être totalement débarrassés de leurs attaches juridiques. Dans le domaine spécifique du droit de la responsabilité civile, il convient en particulier de clairement distinguer le dommage de la fixation du montant des dommages-intérêts. Le premier correspond à l’évènement objectivement constatable et relève du fait. La seconde appartient au droit et, partant, au juge : elle « exprime l’atteinte aux droits subjectifs patrimoniaux ou extra-patrimoniaux qui appellent une réparation dès lors qu’un tiers en est responsable ». En d’autres termes, une limite doit être tracée entre le constat du dommage et la fixation des dommages-intérêts (Bovey, Le juge face à l’expert, in La preuve en droit de la responsabilité civile – Journée de la responsabilité civile 2010, Chappuis/Winiger éd., 2011, pp. 97-98). Ainsi dans un procès en responsabilité civile, l’expert joue un rôle fondamental dans l’établissement des faits, en particulier en ce qui concerne le calcul du dommage et la détermination de la causalité naturelle (Morin, La responsabilité de l’expert dans un procès civil, in La preuve en droit de la responsabilité civile – Journée de la responsabilité civile 2010, Chappuis/Winiger éd., 2011, p. 54), l’établissement de l’espérance de vie pour la capitalisation des rentes, le taux d’intérêt en vigueur pour cette même capitalisation, etc.</w:t>
      </w:r>
    </w:p>
    <w:p>
      <w:r>
        <w:t>- 5 - En l’espèce, les allégués sur lesquels portent l’expertise litigieuse portent sur le calcul du dommage, de sorte que l’on ne saurait considérer que cette expertise est contraire à la loi. En outre, l’avance des frais de cette expertise a été mise à la charge des intimés et le recourant, s’il succombe, pourra toujours faire valoir que celle-ci était inutile et prétendre à ce que les frais soient mis à la charge des intimés pour cette raison en application de l’art. 108 CPC. Dans ces circonstances, il y a lieu de considérer que la condition du préjudice difficilement réparable n’est pas réalisée, de sorte que le recours est irrecevable.</w:t>
      </w:r>
    </w:p>
    <w:p>
      <w:r>
        <w:rPr>
          <w:b/>
        </w:rPr>
        <w:t>E. 3</w:t>
      </w:r>
    </w:p>
    <w:p>
      <w:r>
        <w:t>Vu l’irrecevabilité du recours, les frais judiciaires de deuxième instance, fixés à 1'000 fr. (art. 69 et 70 al. 2 TFJC [tarif du 28 septembre 2010 des frais judiciaires civils ; RSV 270.11.5]) doivent être mis à la charge du recourant (art. 106 al. 1 CPC). Par ces motifs, la Chambre des recours civile du Tribunal cantonal, statuant à huis clos, en application de l'art. 322 al. 1 CPC, prononce : I. Le recours est irrecevable. II. Les frais judiciaires de deuxième instance, arrêtés à 1'000 fr. (mille francs), sont mis à la charge du recourant Etat de Vaud. III. L’arrêt est exécutoire.</w:t>
      </w:r>
    </w:p>
    <w:p>
      <w:r>
        <w:t>- 6 - Le président : Le greffier : Du L'arrêt qui précède, dont la rédaction a été approuvée à huis clos, est notifié à : - Me Odile Pelet (pour Etat de Vaud), - Me Myriam Mazou (pour A.H.________, B.H.________, C.H.________ et D.H.________).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