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PT13.020135 vom 21. Juni 2016</w:t>
      </w:r>
    </w:p>
    <w:p>
      <w:r>
        <w:t>VD Tribunal cantonal, 2016-06-21, FR</w:t>
      </w:r>
    </w:p>
    <w:p>
      <w:r>
        <w:rPr>
          <w:b/>
        </w:rPr>
        <w:t xml:space="preserve">Quelle: </w:t>
      </w:r>
      <w:r>
        <w:t>https://mcp.opencaselaw.ch/entscheid/vd_gerichte_PT13.020135</w:t>
      </w:r>
    </w:p>
    <w:p>
      <w:r>
        <w:t>FR: VD_GERICHTE PT13.020135 du 21 juin 2016</w:t>
      </w:r>
    </w:p>
    <w:p>
      <w:r>
        <w:t>IT: VD_GERICHTE PT13.020135 del 21 giugno 2016</w:t>
      </w:r>
    </w:p>
    <w:p>
      <w:pPr>
        <w:pStyle w:val="Heading2"/>
      </w:pPr>
      <w:r>
        <w:t>Erwägungen</w:t>
      </w:r>
    </w:p>
    <w:p>
      <w:r>
        <w:rPr>
          <w:b/>
        </w:rPr>
        <w:t>E. 1</w:t>
      </w:r>
    </w:p>
    <w:p>
      <w:r>
        <w:t>La société O.________ a subi des pertes nettes de 128'148 fr. 56 en 2010, de 539'423 fr. 02 en 2011, de 270'960 fr. 37 en 2012 et de 334'701 fr. 12 en 2013. Son chiffre d’affaires est passé de 1'840'467 fr. 73 en 2010 à 1'637'681 fr. 86 en 2011, puis de 1'144'048 fr. 87 en 2012 à 257'363 fr. 13 en 2013. La masse salariale, qui représentait une charge de 1'876'096 fr. 05 en 2010 et de 1'844'706 fr. 10 en 2011, s’est élevée à 1'136'230 fr. 55 en 2012 et à 436'403 fr. 85 en 2013. En 2010, le bilan a présenté un bénéfice de 245'025 fr. 25, tandis qu’il a laissé apparaître une perte se montant à 294'397 fr. 77 en 2011, à 542'358 fr. 14 en 2012 et à 877'059 fr. 26 en 2013.</w:t>
      </w:r>
    </w:p>
    <w:p>
      <w:r>
        <w:rPr>
          <w:b/>
        </w:rPr>
        <w:t>E. 2</w:t>
      </w:r>
    </w:p>
    <w:p>
      <w:r>
        <w:t>Les pertes subies par O.________ ne l’ont pas empêchée pas de poursuivre son activité.</w:t>
      </w:r>
    </w:p>
    <w:p>
      <w:r>
        <w:rPr>
          <w:b/>
        </w:rPr>
        <w:t>E. 3</w:t>
      </w:r>
    </w:p>
    <w:p>
      <w:r>
        <w:t>Par demande déposée le 6 mai 2013 auprès de la Chambre patrimoniale cantonale, O.________ a conclu en substance à la condamnation de R.________ au paiement d’une somme de 3'750'000 francs. Le 19 juin 2013, O.________ a versé un montant de 64'250 fr. à titre d’avance de frais. Par réponse du 8 octobre 2013, R.________ a conclu au rejet de la demande. Reconventionnellement, il a notamment conclu à ce qu’O.________ soit condamnée à lui payer une somme totale d’environ 365'000 francs. Le 11 mars 2014, O.________ a déposé une réplique, en confirmant les conclusions prises dans sa demande et en concluant au</w:t>
      </w:r>
    </w:p>
    <w:p>
      <w:r>
        <w:t>- 4 - rejet des conclusions reconventionnelles formulées par R.________ dans sa réponse.</w:t>
      </w:r>
    </w:p>
    <w:p>
      <w:r>
        <w:rPr>
          <w:b/>
        </w:rPr>
        <w:t>E. 3.1</w:t>
      </w:r>
    </w:p>
    <w:p>
      <w:r>
        <w:t>Aux termes de l'art. 99 al. 1 CPC, le demandeur doit, sur requête du défendeur, fournir dans les cas suivants des sûretés en garantie du paiement des dépens : il n'a pas de domicile ou de siège en Suisse (let. a) ; il parait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L'art. 99 al. 1 let. d CPC constitue une clause générale qui permet de prendre en considération toute circonstance propre à accroître sensiblement le risque que les dépens restent sinon impayés (Tappy, CPC commenté, Bâle 2011,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si elle fait l'objet de saisies de salaire en cours (Tappy, op. cit., n. 39 ad art. 99 CPC) ou si, s'agissant des poursuites, celles-ci sont fréquentes ou importantes en comparaison avec les ressources dont</w:t>
      </w:r>
    </w:p>
    <w:p>
      <w:r>
        <w:t>- 8 - dispose le débiteur (Sterchi, Berner Kommentar, 2012, n. 23 ad art. 99 CPC ; CREC 27 novembre 2015/416 consid. 4.2). Un exemple de risque considérable, cité dans le message du Conseil fédéral, serait celui d'une entreprise qui, à la veille de la faillite, braderait ses actifs (FF 2006 6841, 6906). Lorsqu'au vu des pièces comptables, une entreprise a réduit considérablement son chiffre d'affaires, subit des pertes et ne verse plus de salaires, il n’est pas arbitraire d'admettre qu’elle n’exerce plus une activité commerciale et que son insolvabilité est programmée, ce qui justifie de l'astreindre à fournir des sûretés (CREC 11 janvier 2013/5 consid. 3c).</w:t>
      </w:r>
    </w:p>
    <w:p>
      <w:r>
        <w:rPr>
          <w:b/>
        </w:rPr>
        <w:t>E. 3.2</w:t>
      </w:r>
    </w:p>
    <w:p>
      <w:r>
        <w:t>En l'espèce, le premier juge – qui s’est basé sur les bilans et les comptes de pertes et profits produits par l’intimée – a retenu que le recourant n'avait pas établi que celle-ci paraissait insolvable. Selon lui, les pertes subies sur les exercices 2010 à 2013 n’avaient pas empêché l’intimée de poursuivre son activité jusqu'à ce jour et elle n'apparaissait pas rencontrer de difficultés particulières. Le recourant expose, en se fondant uniquement sur l'art. 99 let. d CPC, que le premier juge n'a pas retenu, à tort, que les résultats du bilan se sont fortement péjorés, passant d’un bénéfice de 245'025 fr. en 2010 à une perte de 877'059 fr. en 2013, que le chiffre d'affaires a drastiquement diminué, passant de 1'840'467 fr. en 2010 à 257'363 fr. en 2013, et enfin que la masse salariale a diminué, passant de 1'876'096 fr. en 2010 à 436'403 fr. en 2013. Du reste, il fait valoir que le contrat de travail du seul gestionnaire de fortune a pris fin, selon le témoignage de ce dernier. Le raisonnement du recourant ne peut être suivi. Certes, l’intimée a subi des pertes et son chiffre d’affaires a diminué. Toutefois, on doit constater à l’instar du premier juge que l’intimée continue à exercer une activité commerciale, ce qui est corroboré en particulier par le chiffre d’affaires et la masse salariale comptabilisés selon les bilans et les comptes de pertes et profits produits (pièces nos 101 et 102). En outre, le recourant n’a ni allégué ni démontré que l’intimée semblait faire l’objet</w:t>
      </w:r>
    </w:p>
    <w:p>
      <w:r>
        <w:t>- 9 - d’une déclaration de faillite, d’une procédure concordataire, d’actes de défaut de biens ou même de poursuites. Elle a d’ailleurs été en mesure d’effectuer l’avance de frais. Partant, c’est à bon droit que le premier juge a considéré que l’intimée ne présentait pas de difficultés financières particulières, au point d’établir un risque considérable que les dépens ne soient pas versés (art. 99 al. 1 let. d CPC). Infondé, le moyen doit être rejeté.</w:t>
      </w:r>
    </w:p>
    <w:p>
      <w:r>
        <w:rPr>
          <w:b/>
        </w:rPr>
        <w:t>E. 4</w:t>
      </w:r>
    </w:p>
    <w:p>
      <w:r>
        <w:t>Le recourant invoque une violation de son droit d'être entendu, dès lors que le premier juge a refusé de donner suite à ses réquisitions de production de pièces, considérant qu'elles n'étaient pas indispensables et que les documents produits étaient suffisants pour statuer sur la procédure incidente.</w:t>
      </w:r>
    </w:p>
    <w:p>
      <w:r>
        <w:rPr>
          <w:b/>
        </w:rPr>
        <w:t>E. 4.1</w:t>
      </w:r>
    </w:p>
    <w:p>
      <w:r>
        <w:t>S’agissant du droit à la preuve, l’art. 152 al. 1 CPC dispose que toute partie a droit à ce que le tribunal administre les moyens de preuve adéquats proposés régulièrement et en temps utile. Cette disposition découle du droit d’être entendu et du fardeau de la preuve (art. 8 CC [Code civil suisse du 10 décembre 1907 ; RS 210]). Le droit d’être entendu est une garantie constitutionnelle de nature formelle, dont la violation entraîne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 ; CREC 2 septembre 2014/308 consid. 3.2). Le droit d’être entendu comprend notamment le droit pour l’intéressé de produire des preuves pertinentes, d’obtenir qu’il soit donné suite à ses offres de preuve pertinentes, de participer à l’administration des preuves essentielles ou à tout le moins de s’exprimer sur son résultat,</w:t>
      </w:r>
    </w:p>
    <w:p>
      <w:r>
        <w:t>- 10 -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encore l’amener à modifier son opinion (ATF 136 I 229 consid. 5.3 ; ATF 124 I 208 consid. 4a ; TF 5A_304/2014 du 13 octobre 2014 consid. 3.3 ; TF 1C_6/2009 du 24 août 2009).</w:t>
      </w:r>
    </w:p>
    <w:p>
      <w:r>
        <w:rPr>
          <w:b/>
        </w:rPr>
        <w:t>E. 4.2</w:t>
      </w:r>
    </w:p>
    <w:p>
      <w:r>
        <w:t>En l'espèce, le recourant soutient que s'il avait été donné une suite favorable à ses réquisitions de production de pièces, il aurait pu démontrer que l'intimée n’exerçait plus d'activité et ne disposait plus de personnel susceptibles de générer des revenus, ce qui était pertinent dans l'appréciation de la situation financière de l'intimée. Par ses réquisitions de preuves tendant à la production de tout document démontrant des relations de travail, des liens avec des rapporteurs d’affaires ou l’existence d’une clientèle sous gestion, on peut relever que le recourant semble vouloir se livrer à une « fishing expedition », qui n'est pas l'objectif de la requête en production de pièces, de sorte que les moyens de preuve qu’il propose n’apparaissent pas adéquat au sens de l’art. 152 al. 1 CPC (cf. TF 5A_295/2009 du 23 décembre 2009 consid. 2). Cela étant, les pièces comptables déjà produites – soit les bilans et les comptes de pertes et profits des années 2010 à 2013 – étaient propres à établir l’absence de risque considérable que les dépens ne soient pas versés. Elles démontraient à elles seules que l’intimée continuait à exercer une activité commerciale, si bien que le premier juge pouvait rejeter les réquisitions de preuves formulées par le recourant. Dans l’examen sommaire en vue de statuer sur la requête en fourniture de sûretés (cf. supra, consid. 1), le premier juge pouvait procéder ainsi, sans violer le droit d’être entendu du recourant.</w:t>
      </w:r>
    </w:p>
    <w:p>
      <w:r>
        <w:t>- 11 -</w:t>
      </w:r>
    </w:p>
    <w:p>
      <w:r>
        <w:rPr>
          <w:b/>
        </w:rPr>
        <w:t>E. 5</w:t>
      </w:r>
    </w:p>
    <w:p>
      <w:r>
        <w:t>En définitive, le recours doit être rejeté et la décision entreprise confirmée. Les frais judiciaires de deuxième instance, arrêtés à 1’700 fr. (art. 69 al. 1 TFJC [tarif des frais judiciaires civils du 28 septembre 2010, RSV 270.11.5]), sont mis à la charge du recourant, qui succombe (art. 106 al. 1 CPC). Le recourant R.________ doit verser à l’intimée O.________ la somme de 1'500 fr. à titre de dépens de deuxième instance (art. 8 TDC [Tarif des dépens en matière civile du 23 novembre 2010 ; RSV 270.11.6]). Le dispositif n’en faisant pas mention, il y a lieu de le rectifier d’office (art. 334 al. 1 CPC). Par ces motifs, la Chambre des recours civile du Tribunal cantonal, prononce : I. Le recours est rejeté. II. La décision est confirmée. III. Les frais judiciaires de deuxième instance, arrêtés à 1'700 fr. (mille sept cents francs), sont mis à la charge du recourant R.________. IV. Le recourant R.________ doit verser à l’intimée O.________ la somme de 1'500 fr. (mille cinq cents francs) à titre de dépens de deuxième instance. V. L’arrêt motivé est exécutoire.</w:t>
      </w:r>
    </w:p>
    <w:p>
      <w:r>
        <w:t>- 12 - Le président : Le greffier : Du 23 juin 2016 Le dispositif de l'arrêt qui précède est communiqué par écrit aux intéressés. Le greffier : Du L'arrêt qui précède, dont la rédaction a été approuvée à huis clos, est notifié en expédition complète, par l'envoi de photocopies, à : - Me Eric Cerottini (pour R.________), - Me Jean-Christophe Diserens (pour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- 13 -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