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PT13.007529 vom 15. August 2017</w:t>
      </w:r>
    </w:p>
    <w:p>
      <w:r>
        <w:t>VD Tribunal cantonal, 2017-08-15, FR</w:t>
      </w:r>
    </w:p>
    <w:p>
      <w:r>
        <w:rPr>
          <w:b/>
        </w:rPr>
        <w:t xml:space="preserve">Quelle: </w:t>
      </w:r>
      <w:r>
        <w:t>https://mcp.opencaselaw.ch/entscheid/vd_gerichte_PT13.007529</w:t>
      </w:r>
    </w:p>
    <w:p>
      <w:r>
        <w:t>FR: VD_GERICHTE PT13.007529 du 15 août 2017</w:t>
      </w:r>
    </w:p>
    <w:p>
      <w:r>
        <w:t>IT: VD_GERICHTE PT13.007529 del 15 agosto 2017</w:t>
      </w:r>
    </w:p>
    <w:p>
      <w:pPr>
        <w:pStyle w:val="Heading2"/>
      </w:pPr>
      <w:r>
        <w:t>Erwägungen</w:t>
      </w:r>
    </w:p>
    <w:p>
      <w:r>
        <w:rPr>
          <w:b/>
        </w:rPr>
        <w:t>E. 6</w:t>
      </w:r>
    </w:p>
    <w:p>
      <w:r>
        <w:t>L’appelante reproche encore aux premiers juges d’avoir retenu à tort le calcul et les considérations de l’expert pour estimer comme raisonnable et justifiée la quotité de la rémunération complémentaire réclamée par l’intimée et appelante par voie de jonction dans sa facture du 18 septembre 2012. Dans la mesure où l’expertise n’a pas permis d’établir à satisfaction quelles prestations supplémentaires, non comprises dans le forfait, auraient été réalisées par l’intimée et appelante par voie de jonction, il n’y a pas lieu d’examiner la méthode de calcul de l’expert pour apprécier la quotité des honoraires supplémentaires objet de la facture du 18 septembre 2012, ni d’examiner si les parties étaient convenues d’intégrer la norme SIA 102 dans leur contrat.</w:t>
      </w:r>
    </w:p>
    <w:p>
      <w:r>
        <w:t>- 28 -</w:t>
      </w:r>
    </w:p>
    <w:p>
      <w:r>
        <w:rPr>
          <w:b/>
        </w:rPr>
        <w:t>E. 7.1</w:t>
      </w:r>
    </w:p>
    <w:p>
      <w:r>
        <w:t>L’appelante par voie de jonction fait valoir que les premiers juges auraient considéré à tort que l'appelante était en droit de déduire 1'083 fr. 30 du montant de 139'621 fr. 45 qui lui étaient dû. Elle expose que le seul avis des défauts donné par l'appelante dans sa réponse du 12 septembre 2013 n'atteindrait pas le degré de précision suffisant pour déployer ses effets et que cet avis aurait été donné, alors que la prescription aurait été acquise depuis cinq mois.</w:t>
      </w:r>
    </w:p>
    <w:p>
      <w:r>
        <w:rPr>
          <w:b/>
        </w:rPr>
        <w:t>E. 7.2</w:t>
      </w:r>
    </w:p>
    <w:p>
      <w:r>
        <w:t>Selon l'art. 371 al. 2 CO, les droits du maître en vertu des défauts d'un ouvrage immobilier envers l'entrepreneur et envers l'architecte ou l'ingénieur qui ont collaboré à l'exécution de l'ouvrage se prescrivent par cinq ans à compter de la réception de l'ouvrage. Le maître peut faire valoir les droits de garantie prescrits par voie d'exception, pour autant que les défauts en question aient été signalés avant l'échéance du délai de prescription et à temps, n’étant ainsi pas périmés (Gauch/Carron, op. cit., n. 2288).</w:t>
      </w:r>
    </w:p>
    <w:p>
      <w:r>
        <w:rPr>
          <w:b/>
        </w:rPr>
        <w:t>E. 7.3</w:t>
      </w:r>
    </w:p>
    <w:p>
      <w:r>
        <w:t>En l'espèce, le jugement querellé retient à juste titre que la prescription est acquise et qu'aucun avis des défauts valable n'a été donné (consid. II ha) p. 49). Cela étant, les premiers juges retiennent que l'appelante peut faire valoir ses droits par la voie de l'exception. Or, comme le relève l’appelante par voie de jonction, cela n’est exact que pour autant que les défauts en question aient été signalés avant l'échéance du délai de prescription et à temps, ce qui n'est pas le cas en l'occurrence. Dans sa réponse à l'appel joint, l’appelante fait valoir que par pli des 17 février 2008 et 1er octobre 2012 à tout le moins, elle a refusé les factures de l'architecte et lui a reproché d'avoir « violé son devoir comme responsable des travaux » et de lui avoir fait payer des factures « avec une parfaite conscience du fait qu'elles n'étaient pas dues ». Elle expose</w:t>
      </w:r>
    </w:p>
    <w:p>
      <w:r>
        <w:t>- 29 - que ce faisant, elle aurait exprimé le souhait d'obtenir une réduction des honoraires, avant l'échéance du délai de cinq ans avant la fin des travaux. Contrairement à ce que plaide l’appelante, on ne peut considérer ses plis des 17 février 2008 et 1er octobre 2012 comme étant des avis des défauts, dès lors qu'ils ne comportent que des reproches très généraux et ne permettent pas d'identifier les défauts mis en cause. Par conséquent, la prescription étant acquise, l’appelante ne peut pas faire valoir ses droits de garantie même par la voie de l’exception.</w:t>
      </w:r>
    </w:p>
    <w:p>
      <w:r>
        <w:rPr>
          <w:b/>
        </w:rPr>
        <w:t>E. 8</w:t>
      </w:r>
    </w:p>
    <w:p>
      <w:r>
        <w:t>En définitive, on ne saurait retenir les prétentions en paiement des honoraires supplémentaires de l’intimée et appelante par voie de jonction à hauteur de 104'000 fr., les prestations supplémentaires susceptibles de fonder de tels honoraires n’étant pas établies à satisfaction par l’intimée et appelante par voie de jonction (cf. supra consid. 5), ni les créances en dommages-intérêts de l’appelante pour les défauts résultant d’une mauvaise exécution du contrat, l’appelante ne pouvant invoquer ses droit de garantie prescrits par voie d’exception (cf. supra consid. 7). En revanche, à l’allégué 43 de son appel, l’appelante affirme que compte tenu de l’accord du 20 décembre 2005 confirmé par la lettre du 17 février 2008, par le libellé de la facture du 9 juin 2006 et par celui des demandes d’acomptes et des bons de paiement, elle restait devoir à l’intimée et appelante par voie de jonction un solde d’honoraires de 35'000 francs. Or il ne ressort pas du dossier que cette somme, objet de la facture du 11 novembre 2011, aurait été payée à ce jour. Quant à la facture du 11 novembre 2011 portant sur la somme de 621 fr. 45, TVA comprise, à titre de frais et débours pour la période du 2 avril au 8 septembre 2009, elle n’a pas été contestée spécifiquement par l’appelante. Comme le relève l’expert, cette facture concerne une période, après la fin du chantier, qui concerne la phase finale correspondant aux décomptes et aux travaux de retouches. Ce montant</w:t>
      </w:r>
    </w:p>
    <w:p>
      <w:r>
        <w:t>- 30 - n’est pas compris dans le montant forfaitaire des honoraires de 250'000 francs. Dès lors, l’appelante est tenue de verser la somme de 35'621 fr. 45 à l’intimée et appelante par voie de jonction. Contrairement à ce que plaide l’appelante et compte tenu de ce qui a été exposé (cf. supra consid. 7), il n’y a pas lieu d’examiner une éventuelle compensation entre la créance en paiement des honoraires de l’intimée et la créance en dommages-intérêts du maître de l’ouvrage.</w:t>
      </w:r>
    </w:p>
    <w:p>
      <w:r>
        <w:rPr>
          <w:b/>
        </w:rPr>
        <w:t>E. 9.1</w:t>
      </w:r>
    </w:p>
    <w:p>
      <w:r>
        <w:t>Au vu de ce qui précède, l’appel et l’appel joint doivent être partiellement admis et le jugement querellé doit être réformé en ce sens que A.E.________ doit payer la somme de 35'621 fr. 45 à L.________, avec intérêts à 5 % l’an dès le 31 mars 2008 sur 20'000 fr., dès le 30 mai 2008 sur 15'000 fr. et dès le 1er novembre 2012 sur 621 fr. 45.</w:t>
      </w:r>
    </w:p>
    <w:p>
      <w:r>
        <w:rPr>
          <w:b/>
        </w:rPr>
        <w:t>E. 9.2</w:t>
      </w:r>
    </w:p>
    <w:p>
      <w:r>
        <w:t>Pour ce qui concerne les frais, l’art. 106 al. 1 CPC prévoit que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Selon l’art. 111 al. 1 CPC, les frais judiciaires sont compensés avec les avances fournies par les parties. Conformément à l’art. 111 al. 2 CPC, la partie à qui incombe la charge des frais restitue à l’autre partie les avances que celle-ci a fournies et lui verse les dépens qui lui ont été alloués. En l’espèce, le jugement querellé doit être réformé en ce sens que les frais judiciaires de première instance arrêtés à 35'250 fr. seront mis à la charge de la défenderesse et appelante A.E.________ pour un quart, soit par 8’812 fr. 50, et à la charge de la demanderesse et intimée et appelante par voie de jonction L.________ pour trois-quarts, soit par 26’437 fr. 50. Les frais de la procédure de conciliation de 1'140 fr. seront</w:t>
      </w:r>
    </w:p>
    <w:p>
      <w:r>
        <w:t>- 31 - répartis dans la même proportion, de sorte qu’ils seront mis à la charge de la défenderesse A.E.________ par 285 fr. et à la charge de la demanderesse L.________ par 855 francs. Cette dernière versera à la défenderesse et appelante A.E.________ la somme de 22'151 fr., soit 14'276 fr. à titre de restitution partielle de l’avance de frais de première instance fournie par cette dernière à hauteur de 23'373 fr. et après compensation avec la somme de 285 fr. due à titre de participation aux frais de la procédure de conciliation et 7'875 fr. à titre de dépens réduits pour le défraiement de son conseil (art. 4 TDC [tarif des dépens en matière civile du 23 novembre 2010 ; RSV 270.11.6]). Quant aux frais de deuxième instance, ils seront répartis dans la même proportion. Les frais judiciaires, arrêtés à 3'006 fr. (art. 62 al. 1 TFJC [tarif des frais judiciaires du 28 septembre 2010 ; RSV 270.11.5]), seront mis à la charge de l’appelante par 751 fr. 50 et à la charge de l’intimée et appelante par voie de jonction par 2'254 fr. 50. L’intimée et appelante par voie de jonction versera à l’appelante la somme de 3'144 fr. 50, soit 1'644 fr. 50 à titre de restitution partielle d’avance de frais de deuxième instance et 1'500 fr. à titre de dépens réduits pour le défraiement de son conseil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